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color w:val="000000"/>
          <w:sz w:val="18"/>
          <w:szCs w:val="18"/>
          <w:rtl w:val="0"/>
        </w:rPr>
        <w:t xml:space="preserve">Harvesting of  M - Type Asteroid. Steps: 1) Enter Size; 2) Enter Method; 3) Enter Quantity; 4) Multiply Size x Quantity = Volume; 5) “X” Squares Randomly; 5) Overlay Composition Grid; 6) Result?</w:t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1" distB="114300" distT="114300" distL="114300" distR="114300" hidden="0" layoutInCell="0" locked="0" relativeHeight="0" simplePos="0">
                <wp:simplePos x="0" y="0"/>
                <wp:positionH relativeFrom="margin">
                  <wp:posOffset>-114299</wp:posOffset>
                </wp:positionH>
                <wp:positionV relativeFrom="paragraph">
                  <wp:posOffset>180975</wp:posOffset>
                </wp:positionV>
                <wp:extent cx="4200525" cy="962025"/>
                <wp:effectExtent b="0" l="0" r="0" t="0"/>
                <wp:wrapSquare wrapText="bothSides" distB="114300" distT="114300" distL="114300" distR="114300"/>
                <wp:docPr id="2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147483647" y="2147483647"/>
                          <a:ext cx="4200525" cy="962025"/>
                          <a:chOff x="2147483647" y="2147483647"/>
                          <a:chExt cx="-2147483647" cy="-2147483647"/>
                        </a:xfrm>
                      </wpg:grpSpPr>
                      <wpg:graphicFrame>
                        <wpg:xfrm>
                          <a:off x="152400" y="152400"/>
                          <a:ext cx="3000000" cy="3000000"/>
                        </wpg:xfrm>
                        <a:graphic>
                          <a:graphicData uri="http://schemas.openxmlformats.org/drawingml/2006/table">
                            <a:tbl>
                              <a:tblPr bandRow="1">
                                <a:noFill/>
                                <a:tableStyleId>{1B300EA7-1B91-4235-83D6-CD9F962E50ED}</a:tableStyleId>
                              </a:tblPr>
                              <a:tblGrid>
                                <a:gridCol w="851525"/>
                                <a:gridCol w="1160150"/>
                                <a:gridCol w="1028700"/>
                                <a:gridCol w="1143000"/>
                              </a:tblGrid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Harvester Size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Prospecting Method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Quantity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Volume of Harvest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Large – 8 oz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Map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3 scoops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 anchor="ctr">
                                    <a:solidFill>
                                      <a:srgbClr val="D9D9D9"/>
                                    </a:solidFill>
                                  </a:tcPr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Medium – 4 oz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Spectroscopy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2 scoops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 anchor="ctr">
                                    <a:solidFill>
                                      <a:srgbClr val="D9D9D9"/>
                                    </a:solidFill>
                                  </a:tcPr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Small – 2 oz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Probe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1 scoop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 anchor="ctr">
                                    <a:solidFill>
                                      <a:srgbClr val="D9D9D9"/>
                                    </a:solidFill>
                                  </a:tcPr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t/>
                                      </a:r>
                                      <a:endParaRPr sz="800">
                                        <a:latin typeface="Times New Roman"/>
                                        <a:ea typeface="Times New Roman"/>
                                        <a:cs typeface="Times New Roman"/>
                                        <a:sym typeface="Times New Roman"/>
                                      </a:endParaRPr>
                                    </a:p>
                                  </a:txBody>
                                  <a:tcPr marT="0" marB="0" marR="73025" marL="73025" anchor="ctr"/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b="1"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Your Size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b="1"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Your Method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b="1"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Your Quantity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b="1"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Your Volume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</a:tr>
                              <a:tr h="2032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b="1"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Medium – 4 oz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b="1"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Spectroscopy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b="1"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2 scoops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b="1" lang="en-US" sz="800">
                                          <a:latin typeface="Times New Roman"/>
                                          <a:ea typeface="Times New Roman"/>
                                          <a:cs typeface="Times New Roman"/>
                                          <a:sym typeface="Times New Roman"/>
                                        </a:rPr>
                                        <a:t>8 oz</a:t>
                                      </a:r>
                                    </a:p>
                                  </a:txBody>
                                  <a:tcPr marT="0" marB="0" marR="73025" marL="73025" anchor="ctr"/>
                                </a:tc>
                              </a:tr>
                            </a:tbl>
                          </a:graphicData>
                        </a:graphic>
                      </wpg:graphicFrame>
                    </wpg:wgp>
                  </a:graphicData>
                </a:graphic>
              </wp:anchor>
            </w:drawing>
          </mc:Choice>
          <mc:Fallback>
            <w:drawing>
              <wp:anchor allowOverlap="1" behindDoc="0" distB="114300" distT="114300" distL="114300" distR="114300" hidden="0" layoutInCell="0" locked="0" relativeHeight="0" simplePos="0">
                <wp:simplePos x="0" y="0"/>
                <wp:positionH relativeFrom="margin">
                  <wp:posOffset>-114299</wp:posOffset>
                </wp:positionH>
                <wp:positionV relativeFrom="paragraph">
                  <wp:posOffset>180975</wp:posOffset>
                </wp:positionV>
                <wp:extent cx="4200525" cy="962025"/>
                <wp:effectExtent b="0" l="0" r="0" t="0"/>
                <wp:wrapSquare wrapText="bothSides" distB="114300" distT="114300" distL="114300" distR="114300"/>
                <wp:docPr id="2" name="image03.png"/>
                <a:graphic>
                  <a:graphicData uri="http://schemas.openxmlformats.org/drawingml/2006/picture">
                    <pic:pic>
                      <pic:nvPicPr>
                        <pic:cNvPr id="0" name="image03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200525" cy="9620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mc:AlternateContent>
          <mc:Choice Requires="wpg">
            <w:drawing>
              <wp:inline distB="114300" distT="114300" distL="114300" distR="114300">
                <wp:extent cx="4752975" cy="704850"/>
                <wp:effectExtent b="0" l="0" r="0" t="0"/>
                <wp:docPr id="1" name=""/>
                <a:graphic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2147483647" y="2147483647"/>
                          <a:ext cx="4752975" cy="704850"/>
                          <a:chOff x="2147483647" y="2147483647"/>
                          <a:chExt cx="-2147483647" cy="-2147483647"/>
                        </a:xfrm>
                      </wpg:grpSpPr>
                      <wpg:graphicFrame>
                        <wpg:xfrm>
                          <a:off x="152400" y="152400"/>
                          <a:ext cx="3000000" cy="3000000"/>
                        </wpg:xfrm>
                        <a:graphic>
                          <a:graphicData uri="http://schemas.openxmlformats.org/drawingml/2006/table">
                            <a:tbl>
                              <a:tblPr bandRow="1">
                                <a:noFill/>
                                <a:tableStyleId>{1B300EA7-1B91-4235-83D6-CD9F962E50ED}</a:tableStyleId>
                              </a:tblPr>
                              <a:tblGrid>
                                <a:gridCol w="1097275"/>
                                <a:gridCol w="625475"/>
                                <a:gridCol w="554350"/>
                                <a:gridCol w="558800"/>
                                <a:gridCol w="554350"/>
                                <a:gridCol w="716925"/>
                                <a:gridCol w="625475"/>
                              </a:tblGrid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Asteroid vs Ore</a:t>
                                      </a:r>
                                    </a:p>
                                  </a:txBody>
                                  <a:tcPr marT="0" marB="0" marR="73025" marL="73025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iron</a:t>
                                      </a:r>
                                    </a:p>
                                  </a:txBody>
                                  <a:tcPr marT="0" marB="0" marR="73025" marL="73025" anchor="b">
                                    <a:solidFill>
                                      <a:srgbClr val="E5DFEC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nickel</a:t>
                                      </a:r>
                                    </a:p>
                                  </a:txBody>
                                  <a:tcPr marT="0" marB="0" marR="73025" marL="73025" anchor="b">
                                    <a:solidFill>
                                      <a:srgbClr val="FFC000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cobalt</a:t>
                                      </a:r>
                                    </a:p>
                                  </a:txBody>
                                  <a:tcPr marT="0" marB="0" marR="73025" marL="73025" anchor="b">
                                    <a:solidFill>
                                      <a:srgbClr val="00B050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water</a:t>
                                      </a:r>
                                    </a:p>
                                  </a:txBody>
                                  <a:tcPr marT="0" marB="0" marR="73025" marL="73025" anchor="b">
                                    <a:solidFill>
                                      <a:srgbClr val="00B0F0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platinum</a:t>
                                      </a:r>
                                    </a:p>
                                  </a:txBody>
                                  <a:tcPr marT="0" marB="0" marR="73025" marL="73025" anchor="b">
                                    <a:solidFill>
                                      <a:srgbClr val="FF0000"/>
                                    </a:solidFill>
                                  </a:tcPr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ct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dirt</a:t>
                                      </a:r>
                                    </a:p>
                                  </a:txBody>
                                  <a:tcPr marT="0" marB="0" marR="73025" marL="73025" anchor="b">
                                    <a:solidFill>
                                      <a:srgbClr val="FFFF00"/>
                                    </a:solidFill>
                                  </a:tcPr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M-type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83%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12%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0.50%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0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1%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3.50%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S-Type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15%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1.10%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3.10%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0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0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80.80%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</a:tr>
                              <a:tr h="12700"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C-type 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10.70%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1.40%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0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5.70%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0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  <a:tc>
                                  <a:txBody>
                                    <a:bodyPr>
                                      <a:noAutofit/>
                                    </a:bodyPr>
                                    <a:lstStyle/>
                                    <a:p>
                                      <a:pPr lvl="0" rtl="0" algn="r">
                                        <a:spcBef>
                                          <a:spcPts val="0"/>
                                        </a:spcBef>
                                        <a:buNone/>
                                      </a:pPr>
                                      <a:r>
                                        <a:rPr lang="en-US" sz="1100">
                                          <a:latin typeface="Calibri"/>
                                          <a:ea typeface="Calibri"/>
                                          <a:cs typeface="Calibri"/>
                                          <a:sym typeface="Calibri"/>
                                        </a:rPr>
                                        <a:t>82.20%</a:t>
                                      </a:r>
                                    </a:p>
                                  </a:txBody>
                                  <a:tcPr marT="0" marB="0" marR="73025" marL="73025" anchor="b"/>
                                </a:tc>
                              </a:tr>
                            </a:tbl>
                          </a:graphicData>
                        </a:graphic>
                      </wpg:graphicFrame>
                    </wpg:wgp>
                  </a:graphicData>
                </a:graphic>
              </wp:inline>
            </w:drawing>
          </mc:Choice>
          <mc:Fallback>
            <w:drawing>
              <wp:inline distB="114300" distT="114300" distL="114300" distR="114300">
                <wp:extent cx="4752975" cy="704850"/>
                <wp:effectExtent b="0" l="0" r="0" t="0"/>
                <wp:docPr id="1" name="image01.png"/>
                <a:graphic>
                  <a:graphicData uri="http://schemas.openxmlformats.org/drawingml/2006/picture">
                    <pic:pic>
                      <pic:nvPicPr>
                        <pic:cNvPr id="0" name="image01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4752975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Harvesting of Ore of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u w:val="single"/>
          <w:rtl w:val="0"/>
        </w:rPr>
        <w:t xml:space="preserve">M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18"/>
          <w:szCs w:val="18"/>
          <w:rtl w:val="0"/>
        </w:rPr>
        <w:t xml:space="preserve"> - Type Asteroid</w:t>
      </w:r>
    </w:p>
    <w:tbl>
      <w:tblPr>
        <w:tblStyle w:val="Table1"/>
        <w:bidi w:val="0"/>
        <w:tblW w:w="12095.999999999996" w:type="dxa"/>
        <w:jc w:val="left"/>
        <w:tblInd w:w="-115.0" w:type="dxa"/>
        <w:tblBorders>
          <w:top w:color="c0c0c0" w:space="0" w:sz="4" w:val="single"/>
          <w:left w:color="c0c0c0" w:space="0" w:sz="4" w:val="single"/>
          <w:bottom w:color="c0c0c0" w:space="0" w:sz="4" w:val="single"/>
          <w:right w:color="c0c0c0" w:space="0" w:sz="4" w:val="single"/>
          <w:insideH w:color="c0c0c0" w:space="0" w:sz="4" w:val="single"/>
          <w:insideV w:color="c0c0c0" w:space="0" w:sz="4" w:val="single"/>
        </w:tblBorders>
        <w:tblLayout w:type="fixed"/>
        <w:tblLook w:val="0000"/>
      </w:tblPr>
      <w:tblGrid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gridCol w:w="1008"/>
        <w:tblGridChange w:id="0">
          <w:tblGrid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  <w:gridCol w:w="1008"/>
          </w:tblGrid>
        </w:tblGridChange>
      </w:tblGrid>
      <w:tr>
        <w:trPr>
          <w:trHeight w:val="1000" w:hRule="atLeast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96"/>
                <w:szCs w:val="96"/>
                <w:rtl w:val="0"/>
              </w:rPr>
              <w:t xml:space="preserve">X</w:t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96"/>
                <w:szCs w:val="96"/>
                <w:rtl w:val="0"/>
              </w:rPr>
              <w:t xml:space="preserve">X</w:t>
            </w:r>
          </w:p>
        </w:tc>
        <w:tc>
          <w:tcPr>
            <w:tcBorders>
              <w:top w:color="808080" w:space="0" w:sz="8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96"/>
                <w:szCs w:val="96"/>
                <w:rtl w:val="0"/>
              </w:rPr>
              <w:t xml:space="preserve">X</w:t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96"/>
                <w:szCs w:val="96"/>
                <w:rtl w:val="0"/>
              </w:rPr>
              <w:t xml:space="preserve">X</w:t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96"/>
                <w:szCs w:val="96"/>
                <w:rtl w:val="0"/>
              </w:rPr>
              <w:t xml:space="preserve">X</w:t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96"/>
                <w:szCs w:val="96"/>
                <w:rtl w:val="0"/>
              </w:rPr>
              <w:t xml:space="preserve">X</w:t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00" w:hRule="atLeast"/>
        </w:trPr>
        <w:tc>
          <w:tcPr>
            <w:tcBorders>
              <w:top w:color="808080" w:space="0" w:sz="6" w:val="single"/>
              <w:left w:color="808080" w:space="0" w:sz="8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96"/>
                <w:szCs w:val="96"/>
                <w:rtl w:val="0"/>
              </w:rPr>
              <w:t xml:space="preserve">X</w:t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  <w:vAlign w:val="center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Fonts w:ascii="Arial" w:cs="Arial" w:eastAsia="Arial" w:hAnsi="Arial"/>
                <w:b w:val="1"/>
                <w:sz w:val="96"/>
                <w:szCs w:val="96"/>
                <w:rtl w:val="0"/>
              </w:rPr>
              <w:t xml:space="preserve">X</w:t>
            </w:r>
          </w:p>
        </w:tc>
        <w:tc>
          <w:tcPr>
            <w:tcBorders>
              <w:top w:color="808080" w:space="0" w:sz="6" w:val="single"/>
              <w:left w:color="808080" w:space="0" w:sz="6" w:val="single"/>
              <w:bottom w:color="808080" w:space="0" w:sz="6" w:val="single"/>
              <w:right w:color="808080" w:space="0" w:sz="6" w:val="single"/>
            </w:tcBorders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/>
      <w:pgMar w:bottom="36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Times New Roman"/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320"/>
        <w:tab w:val="right" w:pos="8640"/>
      </w:tabs>
      <w:spacing w:after="0" w:before="0" w:line="240" w:lineRule="auto"/>
      <w:contextualSpacing w:val="0"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320"/>
        <w:tab w:val="right" w:pos="8640"/>
      </w:tabs>
      <w:spacing w:after="0" w:before="0" w:line="240" w:lineRule="auto"/>
      <w:contextualSpacing w:val="0"/>
    </w:pPr>
    <w:r w:rsidDel="00000000" w:rsidR="00000000" w:rsidRPr="00000000">
      <w:rPr>
        <w:rFonts w:ascii="Times New Roman" w:cs="Times New Roman" w:eastAsia="Times New Roman" w:hAnsi="Times New Roman"/>
        <w:b w:val="0"/>
        <w:sz w:val="36"/>
        <w:szCs w:val="36"/>
        <w:rtl w:val="0"/>
      </w:rPr>
      <w:t xml:space="preserve">Asteroid Harvesting 8x12 Grid Example Of M-Type, Medium, 2 Scoops 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3.png"/><Relationship Id="rId6" Type="http://schemas.openxmlformats.org/officeDocument/2006/relationships/image" Target="media/image0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