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14: Presentation of 3D Model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b w:val="1"/>
          <w:rtl w:val="0"/>
        </w:rPr>
        <w:t xml:space="preserve">Problem Statement:.</w:t>
      </w:r>
      <w:r w:rsidDel="00000000" w:rsidR="00000000" w:rsidRPr="00000000">
        <w:rPr>
          <w:rtl w:val="0"/>
        </w:rPr>
        <w:t xml:space="preserve"> Students must work together in teams to create a design a growing environment on Mars that will sustain three researchers for three years. This lesson culminates the unit as the children present their PPTs to the class and answer questions about their plans.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rtl w:val="0"/>
        </w:rPr>
        <w:t xml:space="preserve">Students will develop their scientific communication skills by presenting their work to an external audience and their peers.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Standards (NGSS, CCSS, CTE):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This lesson does not explicitly incorporate specific unit learning standards but the students will be able to practice the following 21st century skills:</w:t>
      </w:r>
    </w:p>
    <w:p w:rsidR="00000000" w:rsidDel="00000000" w:rsidP="00000000" w:rsidRDefault="00000000" w:rsidRPr="00000000">
      <w:pPr>
        <w:numPr>
          <w:ilvl w:val="0"/>
          <w:numId w:val="2"/>
        </w:numPr>
        <w:spacing w:line="276" w:lineRule="auto"/>
        <w:ind w:left="72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Science and Engineering Practices</w:t>
      </w:r>
    </w:p>
    <w:p w:rsidR="00000000" w:rsidDel="00000000" w:rsidP="00000000" w:rsidRDefault="00000000" w:rsidRPr="00000000">
      <w:pPr>
        <w:numPr>
          <w:ilvl w:val="1"/>
          <w:numId w:val="2"/>
        </w:numPr>
        <w:spacing w:line="276" w:lineRule="auto"/>
        <w:ind w:left="144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Constructing Explanations and Designing Solutions </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articulate an explanation</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cite evidence to support explanation</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describe connected reasoning</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evaluate potential solutions</w:t>
      </w:r>
    </w:p>
    <w:p w:rsidR="00000000" w:rsidDel="00000000" w:rsidP="00000000" w:rsidRDefault="00000000" w:rsidRPr="00000000">
      <w:pPr>
        <w:numPr>
          <w:ilvl w:val="1"/>
          <w:numId w:val="2"/>
        </w:numPr>
        <w:spacing w:line="276" w:lineRule="auto"/>
        <w:ind w:left="144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Obtaining, evaluating, and communicating information</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communicate information in at least 2 different formats</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use clear and effective communication skills</w:t>
      </w:r>
    </w:p>
    <w:p w:rsidR="00000000" w:rsidDel="00000000" w:rsidP="00000000" w:rsidRDefault="00000000" w:rsidRPr="00000000">
      <w:pPr>
        <w:numPr>
          <w:ilvl w:val="2"/>
          <w:numId w:val="2"/>
        </w:numPr>
        <w:spacing w:line="276" w:lineRule="auto"/>
        <w:ind w:left="2160" w:hanging="360"/>
        <w:contextualSpacing w:val="1"/>
        <w:rPr>
          <w:rFonts w:ascii="Helvetica Neue" w:cs="Helvetica Neue" w:eastAsia="Helvetica Neue" w:hAnsi="Helvetica Neue"/>
        </w:rPr>
      </w:pPr>
      <w:r w:rsidDel="00000000" w:rsidR="00000000" w:rsidRPr="00000000">
        <w:rPr>
          <w:rFonts w:ascii="Times New Roman" w:cs="Times New Roman" w:eastAsia="Times New Roman" w:hAnsi="Times New Roman"/>
          <w:rtl w:val="0"/>
        </w:rPr>
        <w:t xml:space="preserve">connect Disciplinary Core Ideas (DCI) and Cross Cutting Concepts (CCC)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pPr>
        <w:numPr>
          <w:ilvl w:val="0"/>
          <w:numId w:val="7"/>
        </w:numPr>
        <w:spacing w:line="276" w:lineRule="auto"/>
        <w:ind w:left="720" w:hanging="360"/>
        <w:contextualSpacing w:val="1"/>
        <w:rPr/>
      </w:pPr>
      <w:r w:rsidDel="00000000" w:rsidR="00000000" w:rsidRPr="00000000">
        <w:rPr>
          <w:rFonts w:ascii="Times New Roman" w:cs="Times New Roman" w:eastAsia="Times New Roman" w:hAnsi="Times New Roman"/>
          <w:rtl w:val="0"/>
        </w:rPr>
        <w:t xml:space="preserve">Mars farm 3D model constructed by the students (1 per group)</w:t>
      </w:r>
    </w:p>
    <w:p w:rsidR="00000000" w:rsidDel="00000000" w:rsidP="00000000" w:rsidRDefault="00000000" w:rsidRPr="00000000">
      <w:pPr>
        <w:numPr>
          <w:ilvl w:val="0"/>
          <w:numId w:val="7"/>
        </w:numPr>
        <w:spacing w:line="276"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Powerpoint presentation (1 per group)</w:t>
      </w:r>
    </w:p>
    <w:p w:rsidR="00000000" w:rsidDel="00000000" w:rsidP="00000000" w:rsidRDefault="00000000" w:rsidRPr="00000000">
      <w:pPr>
        <w:numPr>
          <w:ilvl w:val="0"/>
          <w:numId w:val="7"/>
        </w:numPr>
        <w:spacing w:line="276"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Peer review worksheets ( 1 per individual)</w:t>
      </w:r>
    </w:p>
    <w:p w:rsidR="00000000" w:rsidDel="00000000" w:rsidP="00000000" w:rsidRDefault="00000000" w:rsidRPr="00000000">
      <w:pPr>
        <w:numPr>
          <w:ilvl w:val="0"/>
          <w:numId w:val="7"/>
        </w:numPr>
        <w:spacing w:line="276"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Assessment rubric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Convene a ‘NASA’  panel external to your classroom</w:t>
      </w:r>
    </w:p>
    <w:p w:rsidR="00000000" w:rsidDel="00000000" w:rsidP="00000000" w:rsidRDefault="00000000" w:rsidRPr="00000000">
      <w:pPr>
        <w:spacing w:after="0" w:before="0" w:lineRule="auto"/>
        <w:ind w:left="720" w:firstLine="0"/>
        <w:contextualSpacing w:val="0"/>
      </w:pPr>
      <w:r w:rsidDel="00000000" w:rsidR="00000000" w:rsidRPr="00000000">
        <w:rPr>
          <w:b w:val="1"/>
          <w:rtl w:val="0"/>
        </w:rPr>
        <w:t xml:space="preserve">Note: </w:t>
      </w:r>
      <w:r w:rsidDel="00000000" w:rsidR="00000000" w:rsidRPr="00000000">
        <w:rPr>
          <w:rFonts w:ascii="Times New Roman" w:cs="Times New Roman" w:eastAsia="Times New Roman" w:hAnsi="Times New Roman"/>
          <w:rtl w:val="0"/>
        </w:rPr>
        <w:t xml:space="preserve">Teachers may look for outside volunteers or other faculty or staff on campus depending on availability.</w:t>
      </w:r>
    </w:p>
    <w:p w:rsidR="00000000" w:rsidDel="00000000" w:rsidP="00000000" w:rsidRDefault="00000000" w:rsidRPr="00000000">
      <w:pPr>
        <w:numPr>
          <w:ilvl w:val="0"/>
          <w:numId w:val="5"/>
        </w:numPr>
        <w:spacing w:after="0" w:before="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submission deadline of the final powerpoint to the day before presentation. Load all presentations on one computer in order to facilitate a smooth transition from group to group during class time. </w:t>
      </w:r>
    </w:p>
    <w:p w:rsidR="00000000" w:rsidDel="00000000" w:rsidP="00000000" w:rsidRDefault="00000000" w:rsidRPr="00000000">
      <w:pPr>
        <w:numPr>
          <w:ilvl w:val="0"/>
          <w:numId w:val="5"/>
        </w:numPr>
        <w:spacing w:after="0" w:before="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Decide on presentation order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Fonts w:ascii="Times New Roman" w:cs="Times New Roman" w:eastAsia="Times New Roman" w:hAnsi="Times New Roman"/>
          <w:rtl w:val="0"/>
        </w:rPr>
        <w:t xml:space="preserve">: 60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Components</w:t>
      </w:r>
      <w:r w:rsidDel="00000000" w:rsidR="00000000" w:rsidRPr="00000000">
        <w:rPr>
          <w:b w:val="1"/>
          <w:vertAlign w:val="superscript"/>
        </w:rPr>
        <w:footnoteReference w:customMarkFollows="0" w:id="0"/>
      </w:r>
      <w:r w:rsidDel="00000000" w:rsidR="00000000" w:rsidRPr="00000000">
        <w:rPr>
          <w:b w:val="1"/>
          <w:rtl w:val="0"/>
        </w:rPr>
        <w:t xml:space="preserv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Fonts w:ascii="Times New Roman" w:cs="Times New Roman" w:eastAsia="Times New Roman" w:hAnsi="Times New Roman"/>
          <w:rtl w:val="0"/>
        </w:rPr>
        <w:t xml:space="preserve">This lesson is designed as an extended share-out with teacher leading the whole group through small group discussion between presentations.</w:t>
      </w:r>
    </w:p>
    <w:p w:rsidR="00000000" w:rsidDel="00000000" w:rsidP="00000000" w:rsidRDefault="00000000" w:rsidRPr="00000000">
      <w:pPr>
        <w:numPr>
          <w:ilvl w:val="0"/>
          <w:numId w:val="3"/>
        </w:numPr>
        <w:ind w:left="720" w:hanging="360"/>
        <w:contextualSpacing w:val="1"/>
        <w:rPr/>
      </w:pPr>
      <w:r w:rsidDel="00000000" w:rsidR="00000000" w:rsidRPr="00000000">
        <w:rPr>
          <w:rFonts w:ascii="Times New Roman" w:cs="Times New Roman" w:eastAsia="Times New Roman" w:hAnsi="Times New Roman"/>
          <w:rtl w:val="0"/>
        </w:rPr>
        <w:t xml:space="preserve">Each group gives a 5-8 min presentation of their model. Students will write down a question they have for each group in their notebook.  Teacher will randomly call on 2-3 students to ask their question to the group (time permitting)</w:t>
      </w:r>
    </w:p>
    <w:p w:rsidR="00000000" w:rsidDel="00000000" w:rsidP="00000000" w:rsidRDefault="00000000" w:rsidRPr="00000000">
      <w:pPr>
        <w:numPr>
          <w:ilvl w:val="0"/>
          <w:numId w:val="3"/>
        </w:numPr>
        <w:ind w:left="720" w:hanging="360"/>
        <w:contextualSpacing w:val="1"/>
        <w:rPr>
          <w:u w:val="none"/>
        </w:rPr>
      </w:pPr>
      <w:r w:rsidDel="00000000" w:rsidR="00000000" w:rsidRPr="00000000">
        <w:rPr>
          <w:rFonts w:ascii="Times New Roman" w:cs="Times New Roman" w:eastAsia="Times New Roman" w:hAnsi="Times New Roman"/>
          <w:rtl w:val="0"/>
        </w:rPr>
        <w:t xml:space="preserve">‘NASA’ panel of adults are encouraged to ask students clarifying questions and probe into their group process and decision making strategies.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Fonts w:ascii="Times New Roman" w:cs="Times New Roman" w:eastAsia="Times New Roman" w:hAnsi="Times New Roman"/>
          <w:rtl w:val="0"/>
        </w:rPr>
        <w:t xml:space="preserve">All groups achievements are celebrated!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Fonts w:ascii="Times New Roman" w:cs="Times New Roman" w:eastAsia="Times New Roman" w:hAnsi="Times New Roman"/>
          <w:rtl w:val="0"/>
        </w:rPr>
        <w:t xml:space="preserve">Each student lists a question they have for each presentation group in notebook.</w:t>
      </w:r>
    </w:p>
    <w:p w:rsidR="00000000" w:rsidDel="00000000" w:rsidP="00000000" w:rsidRDefault="00000000" w:rsidRPr="00000000">
      <w:pPr>
        <w:numPr>
          <w:ilvl w:val="0"/>
          <w:numId w:val="6"/>
        </w:numPr>
        <w:ind w:left="720" w:hanging="360"/>
        <w:contextualSpacing w:val="1"/>
        <w:rPr/>
      </w:pPr>
      <w:r w:rsidDel="00000000" w:rsidR="00000000" w:rsidRPr="00000000">
        <w:rPr>
          <w:rFonts w:ascii="Times New Roman" w:cs="Times New Roman" w:eastAsia="Times New Roman" w:hAnsi="Times New Roman"/>
          <w:rtl w:val="0"/>
        </w:rPr>
        <w:t xml:space="preserve">Final powerpoint presentation according to final project assessment rubric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4"/>
        </w:numPr>
        <w:ind w:left="720" w:hanging="360"/>
        <w:contextualSpacing w:val="1"/>
        <w:rPr/>
      </w:pPr>
      <w:r w:rsidDel="00000000" w:rsidR="00000000" w:rsidRPr="00000000">
        <w:rPr>
          <w:rFonts w:ascii="Times New Roman" w:cs="Times New Roman" w:eastAsia="Times New Roman" w:hAnsi="Times New Roman"/>
          <w:rtl w:val="0"/>
        </w:rPr>
        <w:t xml:space="preserve">Classrooms have microphones for hearing impaired.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Fonts w:ascii="Times New Roman" w:cs="Times New Roman" w:eastAsia="Times New Roman" w:hAnsi="Times New Roman"/>
          <w:rtl w:val="0"/>
        </w:rPr>
        <w:t xml:space="preserve">Depending on the number of groups in a given classroom, presentation time may be inadequate. Teachers can forgo the external panel and spread out the presentations over the course of severals days or up to a week.  This modification would depend more heavily on peer-peer interactions.</w:t>
      </w:r>
    </w:p>
    <w:p w:rsidR="00000000" w:rsidDel="00000000" w:rsidP="00000000" w:rsidRDefault="00000000" w:rsidRPr="00000000">
      <w:pPr>
        <w:contextualSpacing w:val="0"/>
      </w:pPr>
      <w:r w:rsidDel="00000000" w:rsidR="00000000" w:rsidRPr="00000000">
        <w:rPr>
          <w:rtl w:val="0"/>
        </w:rPr>
      </w:r>
    </w:p>
    <w:sectPr>
      <w:headerReference r:id="rId6" w:type="default"/>
      <w:footerReference r:id="rId7"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lineRule="auto"/>
      <w:contextualSpacing w:val="0"/>
      <w:jc w:val="both"/>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contextualSpacing w:val="0"/>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before="72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320"/>
        <w:tab w:val="right" w:pos="8640"/>
      </w:tabs>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