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bookmarkStart w:colFirst="0" w:colLast="0" w:name="_7ac2iqiish04" w:id="0"/>
      <w:bookmarkEnd w:id="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z w:val="24"/>
          <w:szCs w:val="24"/>
        </w:rPr>
      </w:pPr>
      <w:bookmarkStart w:colFirst="0" w:colLast="0" w:name="_jk9hl4mnbu1m" w:id="1"/>
      <w:bookmarkEnd w:id="1"/>
      <w:r w:rsidDel="00000000" w:rsidR="00000000" w:rsidRPr="00000000">
        <w:rPr>
          <w:rFonts w:ascii="Times New Roman" w:cs="Times New Roman" w:eastAsia="Times New Roman" w:hAnsi="Times New Roman"/>
          <w:b w:val="1"/>
          <w:sz w:val="24"/>
          <w:szCs w:val="24"/>
          <w:rtl w:val="0"/>
        </w:rPr>
        <w:t xml:space="preserve">Lesson 1: Introduction - The Spread of Germs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z w:val="24"/>
          <w:szCs w:val="24"/>
        </w:rPr>
      </w:pPr>
      <w:bookmarkStart w:colFirst="0" w:colLast="0" w:name="_gjdgxs" w:id="2"/>
      <w:bookmarkEnd w:id="2"/>
      <w:r w:rsidDel="00000000" w:rsidR="00000000" w:rsidRPr="00000000">
        <w:rPr>
          <w:rFonts w:ascii="Times New Roman" w:cs="Times New Roman" w:eastAsia="Times New Roman" w:hAnsi="Times New Roman"/>
          <w:sz w:val="24"/>
          <w:szCs w:val="24"/>
          <w:rtl w:val="0"/>
        </w:rPr>
        <w:t xml:space="preserve">Adapted from Super STEM Sleuths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This lesson helps students begin to understand the prevalence of germs and how they are spread.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answer the question: What is a microbe and how are they spread?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What standards (content and practices) are you addressing in this unit/lesson(s)?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Ex. NGSS HS-LS4-4. Construct an explanation based on evidence for how natural selection leads to adaptation of populations.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CCSS Math HS N-RN. Extend the properties of exponents to rational exponents.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Washington State Health Standards</w:t>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Disease Prevention </w:t>
      </w:r>
      <w:r w:rsidDel="00000000" w:rsidR="00000000" w:rsidRPr="00000000">
        <w:rPr>
          <w:rFonts w:ascii="Times New Roman" w:cs="Times New Roman" w:eastAsia="Times New Roman" w:hAnsi="Times New Roman"/>
          <w:rtl w:val="0"/>
        </w:rPr>
        <w:t xml:space="preserve">H7.W2.8a</w:t>
      </w:r>
      <w:r w:rsidDel="00000000" w:rsidR="00000000" w:rsidRPr="00000000">
        <w:rPr>
          <w:rtl w:val="0"/>
        </w:rPr>
      </w:r>
    </w:p>
    <w:p w:rsidR="00000000" w:rsidDel="00000000" w:rsidP="00000000" w:rsidRDefault="00000000" w:rsidRPr="00000000">
      <w:pPr>
        <w:spacing w:line="331.2"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how personal choices contribute to communicable and noncommunicable diseases.</w:t>
      </w:r>
    </w:p>
    <w:p w:rsidR="00000000" w:rsidDel="00000000" w:rsidP="00000000" w:rsidRDefault="00000000" w:rsidRPr="00000000">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Analyzing Influences</w:t>
      </w:r>
      <w:r w:rsidDel="00000000" w:rsidR="00000000" w:rsidRPr="00000000">
        <w:rPr>
          <w:rFonts w:ascii="Times New Roman" w:cs="Times New Roman" w:eastAsia="Times New Roman" w:hAnsi="Times New Roman"/>
          <w:rtl w:val="0"/>
        </w:rPr>
        <w:t xml:space="preserve"> H7.W2.8a</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how peers, culture, and family influence health decisions and behaviors.</w:t>
      </w:r>
    </w:p>
    <w:p w:rsidR="00000000" w:rsidDel="00000000" w:rsidP="00000000" w:rsidRDefault="00000000" w:rsidRPr="00000000">
      <w:pPr>
        <w:spacing w:line="331.2"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highlight w:val="white"/>
        </w:rPr>
      </w:pPr>
      <w:r w:rsidDel="00000000" w:rsidR="00000000" w:rsidRPr="00000000">
        <w:rPr>
          <w:rFonts w:ascii="Times New Roman" w:cs="Times New Roman" w:eastAsia="Times New Roman" w:hAnsi="Times New Roman"/>
          <w:b w:val="1"/>
          <w:color w:val="333333"/>
          <w:highlight w:val="white"/>
          <w:rtl w:val="0"/>
        </w:rPr>
        <w:t xml:space="preserve">Common Core State Standards Connections:</w:t>
      </w:r>
    </w:p>
    <w:tbl>
      <w:tblPr>
        <w:tblStyle w:val="Table1"/>
        <w:tblW w:w="8895.0" w:type="dxa"/>
        <w:jc w:val="left"/>
        <w:tblLayout w:type="fixed"/>
        <w:tblLook w:val="0600"/>
      </w:tblPr>
      <w:tblGrid>
        <w:gridCol w:w="1050"/>
        <w:gridCol w:w="7845"/>
        <w:tblGridChange w:id="0">
          <w:tblGrid>
            <w:gridCol w:w="1050"/>
            <w:gridCol w:w="7845"/>
          </w:tblGrid>
        </w:tblGridChange>
      </w:tblGrid>
      <w:tr>
        <w:tc>
          <w:tcPr>
            <w:gridSpan w:val="2"/>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i w:val="1"/>
                <w:color w:val="333333"/>
                <w:highlight w:val="white"/>
                <w:rtl w:val="0"/>
              </w:rPr>
              <w:t xml:space="preserve">ELA/Literacy -</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5">
              <w:r w:rsidDel="00000000" w:rsidR="00000000" w:rsidRPr="00000000">
                <w:rPr>
                  <w:rFonts w:ascii="Times New Roman" w:cs="Times New Roman" w:eastAsia="Times New Roman" w:hAnsi="Times New Roman"/>
                  <w:highlight w:val="white"/>
                  <w:rtl w:val="0"/>
                </w:rPr>
                <w:t xml:space="preserve">RI.5.7</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6">
              <w:r w:rsidDel="00000000" w:rsidR="00000000" w:rsidRPr="00000000">
                <w:rPr>
                  <w:rFonts w:ascii="Times New Roman" w:cs="Times New Roman" w:eastAsia="Times New Roman" w:hAnsi="Times New Roman"/>
                  <w:highlight w:val="white"/>
                  <w:rtl w:val="0"/>
                </w:rPr>
                <w:t xml:space="preserve">Draw on information from multiple print or digital sources, demonstrating the ability to locate an answer to a question quickly or to solve a problem efficiently. </w:t>
              </w:r>
            </w:hyperlink>
            <w:hyperlink r:id="rId7">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8">
              <w:r w:rsidDel="00000000" w:rsidR="00000000" w:rsidRPr="00000000">
                <w:rPr>
                  <w:rFonts w:ascii="Times New Roman" w:cs="Times New Roman" w:eastAsia="Times New Roman" w:hAnsi="Times New Roman"/>
                  <w:highlight w:val="white"/>
                  <w:rtl w:val="0"/>
                </w:rPr>
                <w:t xml:space="preserve">SL.5.5</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9">
              <w:r w:rsidDel="00000000" w:rsidR="00000000" w:rsidRPr="00000000">
                <w:rPr>
                  <w:rFonts w:ascii="Times New Roman" w:cs="Times New Roman" w:eastAsia="Times New Roman" w:hAnsi="Times New Roman"/>
                  <w:highlight w:val="white"/>
                  <w:rtl w:val="0"/>
                </w:rPr>
                <w:t xml:space="preserve">Include multimedia components (e.g., graphics, sound) and visual displays in presentations when appropriate to enhance the development of main ideas or themes. </w:t>
              </w:r>
            </w:hyperlink>
            <w:hyperlink r:id="rId10">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tc>
      </w:tr>
      <w:tr>
        <w:tc>
          <w:tcPr>
            <w:gridSpan w:val="2"/>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i w:val="1"/>
                <w:color w:val="333333"/>
                <w:highlight w:val="white"/>
                <w:rtl w:val="0"/>
              </w:rPr>
              <w:t xml:space="preserve">Mathematics -</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11">
              <w:r w:rsidDel="00000000" w:rsidR="00000000" w:rsidRPr="00000000">
                <w:rPr>
                  <w:rFonts w:ascii="Times New Roman" w:cs="Times New Roman" w:eastAsia="Times New Roman" w:hAnsi="Times New Roman"/>
                  <w:highlight w:val="white"/>
                  <w:rtl w:val="0"/>
                </w:rPr>
                <w:t xml:space="preserve">MP.2</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12">
              <w:r w:rsidDel="00000000" w:rsidR="00000000" w:rsidRPr="00000000">
                <w:rPr>
                  <w:rFonts w:ascii="Times New Roman" w:cs="Times New Roman" w:eastAsia="Times New Roman" w:hAnsi="Times New Roman"/>
                  <w:highlight w:val="white"/>
                  <w:rtl w:val="0"/>
                </w:rPr>
                <w:t xml:space="preserve">Reason abstractly and quantitatively. </w:t>
              </w:r>
            </w:hyperlink>
            <w:hyperlink r:id="rId13">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14">
              <w:r w:rsidDel="00000000" w:rsidR="00000000" w:rsidRPr="00000000">
                <w:rPr>
                  <w:rFonts w:ascii="Times New Roman" w:cs="Times New Roman" w:eastAsia="Times New Roman" w:hAnsi="Times New Roman"/>
                  <w:b w:val="1"/>
                  <w:highlight w:val="white"/>
                  <w:rtl w:val="0"/>
                </w:rPr>
                <w:t xml:space="preserve">MP.4</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15">
              <w:r w:rsidDel="00000000" w:rsidR="00000000" w:rsidRPr="00000000">
                <w:rPr>
                  <w:rFonts w:ascii="Times New Roman" w:cs="Times New Roman" w:eastAsia="Times New Roman" w:hAnsi="Times New Roman"/>
                  <w:highlight w:val="white"/>
                  <w:rtl w:val="0"/>
                </w:rPr>
                <w:t xml:space="preserve">Model with mathematics. </w:t>
              </w:r>
            </w:hyperlink>
            <w:hyperlink r:id="rId16">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r w:rsidDel="00000000" w:rsidR="00000000" w:rsidRPr="00000000">
              <w:rPr>
                <w:rtl w:val="0"/>
              </w:rPr>
            </w:r>
          </w:p>
        </w:tc>
      </w:tr>
    </w:tbl>
    <w:p w:rsidR="00000000" w:rsidDel="00000000" w:rsidP="00000000" w:rsidRDefault="00000000" w:rsidRPr="00000000">
      <w:pPr>
        <w:spacing w:line="240" w:lineRule="auto"/>
        <w:contextualSpacing w:val="0"/>
        <w:rPr>
          <w:rFonts w:ascii="Times New Roman" w:cs="Times New Roman" w:eastAsia="Times New Roman" w:hAnsi="Times New Roman"/>
          <w:b w:val="1"/>
          <w:color w:val="202020"/>
        </w:rPr>
      </w:pPr>
      <w:r w:rsidDel="00000000" w:rsidR="00000000" w:rsidRPr="00000000">
        <w:rPr>
          <w:rFonts w:ascii="Times New Roman" w:cs="Times New Roman" w:eastAsia="Times New Roman" w:hAnsi="Times New Roman"/>
          <w:b w:val="1"/>
          <w:color w:val="202020"/>
          <w:rtl w:val="0"/>
        </w:rPr>
        <w:t xml:space="preserve">Career and Technical Education</w:t>
      </w:r>
    </w:p>
    <w:p w:rsidR="00000000" w:rsidDel="00000000" w:rsidP="00000000" w:rsidRDefault="00000000" w:rsidRPr="00000000">
      <w:pPr>
        <w:spacing w:line="240" w:lineRule="auto"/>
        <w:contextualSpacing w:val="0"/>
        <w:rPr>
          <w:rFonts w:ascii="Times New Roman" w:cs="Times New Roman" w:eastAsia="Times New Roman" w:hAnsi="Times New Roman"/>
          <w:i w:val="1"/>
          <w:color w:val="202020"/>
        </w:rPr>
      </w:pPr>
      <w:r w:rsidDel="00000000" w:rsidR="00000000" w:rsidRPr="00000000">
        <w:rPr>
          <w:rFonts w:ascii="Times New Roman" w:cs="Times New Roman" w:eastAsia="Times New Roman" w:hAnsi="Times New Roman"/>
          <w:i w:val="1"/>
          <w:color w:val="202020"/>
          <w:rtl w:val="0"/>
        </w:rPr>
        <w:t xml:space="preserve">Career Ready Practices </w:t>
      </w:r>
      <w:r w:rsidDel="00000000" w:rsidR="00000000" w:rsidRPr="00000000">
        <w:rPr>
          <w:rFonts w:ascii="Times New Roman" w:cs="Times New Roman" w:eastAsia="Times New Roman" w:hAnsi="Times New Roman"/>
          <w:rtl w:val="0"/>
        </w:rPr>
        <w:t xml:space="preserve">H2.W3.7</w:t>
      </w: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Attend to personal health and well-being</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Work productively in teams while using cultural/global competence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9.B.1 </w:t>
      </w:r>
      <w:r w:rsidDel="00000000" w:rsidR="00000000" w:rsidRPr="00000000">
        <w:rPr>
          <w:rFonts w:ascii="Times New Roman" w:cs="Times New Roman" w:eastAsia="Times New Roman" w:hAnsi="Times New Roman"/>
          <w:b w:val="1"/>
          <w:i w:val="1"/>
          <w:rtl w:val="0"/>
        </w:rPr>
        <w:t xml:space="preserve">Work Effectively with Diverse Teams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Respect cultural differences and work effectively with people from a range of social and cultural  backgrounds.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18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20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10.B.1g </w:t>
      </w:r>
      <w:r w:rsidDel="00000000" w:rsidR="00000000" w:rsidRPr="00000000">
        <w:rPr>
          <w:rFonts w:ascii="Times New Roman" w:cs="Times New Roman" w:eastAsia="Times New Roman" w:hAnsi="Times New Roman"/>
          <w:b w:val="1"/>
          <w:i w:val="1"/>
          <w:rtl w:val="0"/>
        </w:rPr>
        <w:t xml:space="preserve">Produce Results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Respect and appreciate team diversity.</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11.B.1</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i w:val="1"/>
          <w:rtl w:val="0"/>
        </w:rPr>
        <w:t xml:space="preserve">Be Responsible to Others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 responsibly with the interest of the larger community in mind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will students learn about connections to career and educational pathways into the unit/lessons?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GloGerm (</w:t>
      </w:r>
      <w:hyperlink r:id="rId17">
        <w:r w:rsidDel="00000000" w:rsidR="00000000" w:rsidRPr="00000000">
          <w:rPr>
            <w:rFonts w:ascii="Times New Roman" w:cs="Times New Roman" w:eastAsia="Times New Roman" w:hAnsi="Times New Roman"/>
            <w:color w:val="1155cc"/>
            <w:u w:val="single"/>
            <w:rtl w:val="0"/>
          </w:rPr>
          <w:t xml:space="preserve">www.glogerm.com</w:t>
        </w:r>
      </w:hyperlink>
      <w:r w:rsidDel="00000000" w:rsidR="00000000" w:rsidRPr="00000000">
        <w:rPr>
          <w:rFonts w:ascii="Times New Roman" w:cs="Times New Roman" w:eastAsia="Times New Roman" w:hAnsi="Times New Roman"/>
          <w:rtl w:val="0"/>
        </w:rPr>
        <w:t xml:space="preserve">) powder from science supply stores (available on Amazon for about $19)</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Blacklight ($7 on Amazon, price break for 5 ($12))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 to sink for washing hands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Pre-moistened towels, Several types of hand soap (bar and liquid), Anti-bacterial cleaner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Colored pencils, crayons or markers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hyperlink r:id="rId18">
        <w:r w:rsidDel="00000000" w:rsidR="00000000" w:rsidRPr="00000000">
          <w:rPr>
            <w:rFonts w:ascii="Times New Roman" w:cs="Times New Roman" w:eastAsia="Times New Roman" w:hAnsi="Times New Roman"/>
            <w:color w:val="1155cc"/>
            <w:u w:val="single"/>
            <w:rtl w:val="0"/>
          </w:rPr>
          <w:t xml:space="preserve">Observation Sheet</w:t>
        </w:r>
      </w:hyperlink>
      <w:r w:rsidDel="00000000" w:rsidR="00000000" w:rsidRPr="00000000">
        <w:rPr>
          <w:rFonts w:ascii="Times New Roman" w:cs="Times New Roman" w:eastAsia="Times New Roman" w:hAnsi="Times New Roman"/>
          <w:rtl w:val="0"/>
        </w:rPr>
        <w:t xml:space="preserve"> (class set)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hyperlink r:id="rId19">
        <w:r w:rsidDel="00000000" w:rsidR="00000000" w:rsidRPr="00000000">
          <w:rPr>
            <w:rFonts w:ascii="Times New Roman" w:cs="Times New Roman" w:eastAsia="Times New Roman" w:hAnsi="Times New Roman"/>
            <w:color w:val="1155cc"/>
            <w:u w:val="single"/>
            <w:rtl w:val="0"/>
          </w:rPr>
          <w:t xml:space="preserve">Germ Sheet</w:t>
        </w:r>
      </w:hyperlink>
      <w:r w:rsidDel="00000000" w:rsidR="00000000" w:rsidRPr="00000000">
        <w:rPr>
          <w:rFonts w:ascii="Times New Roman" w:cs="Times New Roman" w:eastAsia="Times New Roman" w:hAnsi="Times New Roman"/>
          <w:rtl w:val="0"/>
        </w:rPr>
        <w:t xml:space="preserve"> (class set)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using a blacklight fixture, set it up for the students to use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45-50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w:t>
      </w:r>
      <w:r w:rsidDel="00000000" w:rsidR="00000000" w:rsidRPr="00000000">
        <w:rPr>
          <w:rFonts w:ascii="Times New Roman" w:cs="Times New Roman" w:eastAsia="Times New Roman" w:hAnsi="Times New Roman"/>
          <w:b w:val="1"/>
          <w:rtl w:val="0"/>
        </w:rPr>
        <w:t xml:space="preserve">instruction</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activity is intended to be done in partnerships and groups of 4-5</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Protocol that will help groups function smoother:</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Everyone leaning in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Shared speaking time - equal voice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No cross talk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Investigative Question: </w:t>
      </w:r>
      <w:r w:rsidDel="00000000" w:rsidR="00000000" w:rsidRPr="00000000">
        <w:rPr>
          <w:rFonts w:ascii="Times New Roman" w:cs="Times New Roman" w:eastAsia="Times New Roman" w:hAnsi="Times New Roman"/>
          <w:rtl w:val="0"/>
        </w:rPr>
        <w:t xml:space="preserve">How can disrupting the environmental conditions stop the spread of infectious disease? How can thorough hand washing limit the spread of infectious diseases?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2"/>
        <w:tblW w:w="963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4065"/>
        <w:gridCol w:w="4410"/>
        <w:tblGridChange w:id="0">
          <w:tblGrid>
            <w:gridCol w:w="1155"/>
            <w:gridCol w:w="4065"/>
            <w:gridCol w:w="4410"/>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118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hanging="3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 GloGerm powder on your hands and then casually shake hands with all students as they enter the room or as appropriate.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Shake hands with teacher </w:t>
            </w:r>
          </w:p>
        </w:tc>
      </w:tr>
      <w:tr>
        <w:trPr>
          <w:trHeight w:val="680" w:hRule="atLeast"/>
        </w:trPr>
        <w:tc>
          <w:tcPr>
            <w:gridSpan w:val="3"/>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hanging="36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Notes: Transfer was great with 6 people “infected” with GloGerm. Another idea is to secretly employ students as “infected” people. Alternately, sprinkle/spread GloGerm on shared class materials that students will be touching during the course of Lesson 1.  Boxes of colored pencils work well as they will be used later in this lesson.</w:t>
            </w:r>
          </w:p>
        </w:tc>
      </w:tr>
      <w:tr>
        <w:trPr>
          <w:trHeight w:val="360" w:hRule="atLeast"/>
        </w:trPr>
        <w:tc>
          <w:tcPr>
            <w:gridSpan w:val="3"/>
          </w:tcPr>
          <w:p w:rsidR="00000000" w:rsidDel="00000000" w:rsidP="00000000" w:rsidRDefault="00000000" w:rsidRPr="00000000">
            <w:pPr>
              <w:spacing w:line="240" w:lineRule="auto"/>
              <w:ind w:left="360" w:firstLine="0"/>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THINK PAIR SHARE</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w:t>
            </w:r>
            <w:r w:rsidDel="00000000" w:rsidR="00000000" w:rsidRPr="00000000">
              <w:rPr>
                <w:rFonts w:ascii="Times New Roman" w:cs="Times New Roman" w:eastAsia="Times New Roman" w:hAnsi="Times New Roman"/>
                <w:b w:val="1"/>
                <w:rtl w:val="0"/>
              </w:rPr>
              <w:t xml:space="preserve">THINK </w:t>
            </w:r>
            <w:r w:rsidDel="00000000" w:rsidR="00000000" w:rsidRPr="00000000">
              <w:rPr>
                <w:rFonts w:ascii="Times New Roman" w:cs="Times New Roman" w:eastAsia="Times New Roman" w:hAnsi="Times New Roman"/>
                <w:rtl w:val="0"/>
              </w:rPr>
              <w:t xml:space="preserve">and make a written  list of everything they see in their immediate environment.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Individually on </w:t>
            </w:r>
            <w:hyperlink r:id="rId20">
              <w:r w:rsidDel="00000000" w:rsidR="00000000" w:rsidRPr="00000000">
                <w:rPr>
                  <w:rFonts w:ascii="Times New Roman" w:cs="Times New Roman" w:eastAsia="Times New Roman" w:hAnsi="Times New Roman"/>
                  <w:b w:val="1"/>
                  <w:color w:val="1155cc"/>
                  <w:u w:val="single"/>
                  <w:rtl w:val="0"/>
                </w:rPr>
                <w:t xml:space="preserve">OBSERVATION </w:t>
              </w:r>
            </w:hyperlink>
            <w:r w:rsidDel="00000000" w:rsidR="00000000" w:rsidRPr="00000000">
              <w:rPr>
                <w:rFonts w:ascii="Times New Roman" w:cs="Times New Roman" w:eastAsia="Times New Roman" w:hAnsi="Times New Roman"/>
                <w:rtl w:val="0"/>
              </w:rPr>
              <w:t xml:space="preserve">sheet in “On your Own” column</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discussion of </w:t>
            </w:r>
            <w:r w:rsidDel="00000000" w:rsidR="00000000" w:rsidRPr="00000000">
              <w:rPr>
                <w:rFonts w:ascii="Times New Roman" w:cs="Times New Roman" w:eastAsia="Times New Roman" w:hAnsi="Times New Roman"/>
                <w:b w:val="1"/>
                <w:rtl w:val="0"/>
              </w:rPr>
              <w:t xml:space="preserve">PAIRS</w:t>
            </w: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Arial Unicode MS" w:cs="Arial Unicode MS" w:eastAsia="Arial Unicode MS" w:hAnsi="Arial Unicode MS"/>
                <w:rtl w:val="0"/>
              </w:rPr>
              <w:t xml:space="preserve">For two minutes, have students, working with a  partner to exchange lists (✔ beside existing items,  and add new ones to the PAIR column of worksheet).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table group discussion and record in SHARE column.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Arial Unicode MS" w:cs="Arial Unicode MS" w:eastAsia="Arial Unicode MS" w:hAnsi="Arial Unicode MS"/>
                <w:rtl w:val="0"/>
              </w:rPr>
              <w:t xml:space="preserve">Share their observations, one PAIR with another PAIR repeating the process .  (✔ beside existing items,  and add new ones to their list).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hanging="360"/>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whole group </w:t>
            </w:r>
            <w:r w:rsidDel="00000000" w:rsidR="00000000" w:rsidRPr="00000000">
              <w:rPr>
                <w:rFonts w:ascii="Times New Roman" w:cs="Times New Roman" w:eastAsia="Times New Roman" w:hAnsi="Times New Roman"/>
                <w:b w:val="1"/>
                <w:rtl w:val="0"/>
              </w:rPr>
              <w:t xml:space="preserve">SHARING of the Q: “</w:t>
            </w:r>
            <w:r w:rsidDel="00000000" w:rsidR="00000000" w:rsidRPr="00000000">
              <w:rPr>
                <w:rFonts w:ascii="Times New Roman" w:cs="Times New Roman" w:eastAsia="Times New Roman" w:hAnsi="Times New Roman"/>
                <w:rtl w:val="0"/>
              </w:rPr>
              <w:t xml:space="preserve">Come up with one thing one your lists (as a table group) that you believe nobody else has on their list.”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 each observation on a white board. If a team runs out of new things to add to the list they can pass. Continue until all teams run out of observations.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person from each group shares in a round robin fashion.</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“What is missing? What else is in our immediate environment that you may not be able to see?  (Things that  you cannot see! Germs.) Germ is a generic term for what are considered bad microbes. Microbes are organisms too small to be observed by the naked eye”.  Write their guesses on margin of OBSERVATION 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write MICROBE definition on the back of their</w:t>
            </w:r>
            <w:hyperlink r:id="rId21">
              <w:r w:rsidDel="00000000" w:rsidR="00000000" w:rsidRPr="00000000">
                <w:rPr>
                  <w:rFonts w:ascii="Times New Roman" w:cs="Times New Roman" w:eastAsia="Times New Roman" w:hAnsi="Times New Roman"/>
                  <w:color w:val="1155cc"/>
                  <w:u w:val="single"/>
                  <w:rtl w:val="0"/>
                </w:rPr>
                <w:t xml:space="preserve"> OBSERVATION SHEET</w:t>
              </w:r>
            </w:hyperlink>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Distribute sticky notes to table groups, one per person.  Instruct students to work together to write the name of one ( type of) microbe on their post it.Try to have no duplicates at the table group.  (Fungi, Algae, bacteria, virus, protozoa)</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place sticky notes on a “Parking Lot” area (white board/poster paper) for use later in the unit.  Make no judgements at this point, Later post-its will be classified into category of microbes or moved from the list.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think germs are spread? If one person has a cold, how can you catch it?”  Have students examine their hands. Ask, Do you see anything? Why do you wash your hands before eating? (Germs.)</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participate in discussion (Students will give many answers: “If you sit next to them,” “if you drink out of their cup,” “if they sneeze on you.” Write these down.)</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Distribute </w:t>
            </w:r>
            <w:hyperlink r:id="rId22">
              <w:r w:rsidDel="00000000" w:rsidR="00000000" w:rsidRPr="00000000">
                <w:rPr>
                  <w:rFonts w:ascii="Times New Roman" w:cs="Times New Roman" w:eastAsia="Times New Roman" w:hAnsi="Times New Roman"/>
                  <w:color w:val="1155cc"/>
                  <w:u w:val="single"/>
                  <w:rtl w:val="0"/>
                </w:rPr>
                <w:t xml:space="preserve">Germ Sketch</w:t>
              </w:r>
            </w:hyperlink>
            <w:r w:rsidDel="00000000" w:rsidR="00000000" w:rsidRPr="00000000">
              <w:rPr>
                <w:rFonts w:ascii="Times New Roman" w:cs="Times New Roman" w:eastAsia="Times New Roman" w:hAnsi="Times New Roman"/>
                <w:rtl w:val="0"/>
              </w:rPr>
              <w:t xml:space="preserve"> worksheets</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draw an enlarged Germ Sketch on the provided document.</w:t>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*Note: this allows time to use pencils that have been dusted with GloGerm and have students inspect hands in a darkened setting for simulated germ transfer.</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Colored pencils, copies of </w:t>
            </w:r>
            <w:hyperlink r:id="rId23">
              <w:r w:rsidDel="00000000" w:rsidR="00000000" w:rsidRPr="00000000">
                <w:rPr>
                  <w:rFonts w:ascii="Times New Roman" w:cs="Times New Roman" w:eastAsia="Times New Roman" w:hAnsi="Times New Roman"/>
                  <w:color w:val="1155cc"/>
                  <w:u w:val="single"/>
                  <w:rtl w:val="0"/>
                </w:rPr>
                <w:t xml:space="preserve">GERM SKETCH</w:t>
              </w:r>
            </w:hyperlink>
            <w:r w:rsidDel="00000000" w:rsidR="00000000" w:rsidRPr="00000000">
              <w:rPr>
                <w:rFonts w:ascii="Times New Roman" w:cs="Times New Roman" w:eastAsia="Times New Roman" w:hAnsi="Times New Roman"/>
                <w:rtl w:val="0"/>
              </w:rPr>
              <w:t xml:space="preserve">, </w:t>
            </w:r>
            <w:hyperlink r:id="rId24">
              <w:r w:rsidDel="00000000" w:rsidR="00000000" w:rsidRPr="00000000">
                <w:rPr>
                  <w:rFonts w:ascii="Times New Roman" w:cs="Times New Roman" w:eastAsia="Times New Roman" w:hAnsi="Times New Roman"/>
                  <w:color w:val="1155cc"/>
                  <w:u w:val="single"/>
                  <w:rtl w:val="0"/>
                </w:rPr>
                <w:t xml:space="preserve">Cells Alive</w:t>
              </w:r>
            </w:hyperlink>
            <w:r w:rsidDel="00000000" w:rsidR="00000000" w:rsidRPr="00000000">
              <w:rPr>
                <w:rFonts w:ascii="Times New Roman" w:cs="Times New Roman" w:eastAsia="Times New Roman" w:hAnsi="Times New Roman"/>
                <w:rtl w:val="0"/>
              </w:rPr>
              <w:t xml:space="preserve"> is a great resource for completing this assignment.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666666"/>
                <w:sz w:val="24"/>
                <w:szCs w:val="24"/>
                <w:rtl w:val="0"/>
              </w:rPr>
              <w:t xml:space="preserve">Use colored pencils to complete the germ sketch </w:t>
            </w:r>
            <w:hyperlink r:id="rId25">
              <w:r w:rsidDel="00000000" w:rsidR="00000000" w:rsidRPr="00000000">
                <w:rPr>
                  <w:rFonts w:ascii="Times New Roman" w:cs="Times New Roman" w:eastAsia="Times New Roman" w:hAnsi="Times New Roman"/>
                  <w:color w:val="db4437"/>
                  <w:sz w:val="24"/>
                  <w:szCs w:val="24"/>
                  <w:u w:val="single"/>
                  <w:rtl w:val="0"/>
                </w:rPr>
                <w:t xml:space="preserve">activity</w:t>
              </w:r>
            </w:hyperlink>
            <w:r w:rsidDel="00000000" w:rsidR="00000000" w:rsidRPr="00000000">
              <w:rPr>
                <w:rFonts w:ascii="Times New Roman" w:cs="Times New Roman" w:eastAsia="Times New Roman" w:hAnsi="Times New Roman"/>
                <w:color w:val="666666"/>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Helpful resources include: </w:t>
            </w:r>
            <w:hyperlink r:id="rId26">
              <w:r w:rsidDel="00000000" w:rsidR="00000000" w:rsidRPr="00000000">
                <w:rPr>
                  <w:rFonts w:ascii="Times New Roman" w:cs="Times New Roman" w:eastAsia="Times New Roman" w:hAnsi="Times New Roman"/>
                  <w:color w:val="1155cc"/>
                  <w:sz w:val="24"/>
                  <w:szCs w:val="24"/>
                  <w:u w:val="single"/>
                  <w:rtl w:val="0"/>
                </w:rPr>
                <w:t xml:space="preserve">Alive!</w:t>
              </w:r>
            </w:hyperlink>
            <w:r w:rsidDel="00000000" w:rsidR="00000000" w:rsidRPr="00000000">
              <w:rPr>
                <w:rFonts w:ascii="Times New Roman" w:cs="Times New Roman" w:eastAsia="Times New Roman" w:hAnsi="Times New Roman"/>
                <w:sz w:val="24"/>
                <w:szCs w:val="24"/>
                <w:rtl w:val="0"/>
              </w:rPr>
              <w:t xml:space="preserve"> Or </w:t>
            </w:r>
            <w:hyperlink r:id="rId27">
              <w:r w:rsidDel="00000000" w:rsidR="00000000" w:rsidRPr="00000000">
                <w:rPr>
                  <w:rFonts w:ascii="Times New Roman" w:cs="Times New Roman" w:eastAsia="Times New Roman" w:hAnsi="Times New Roman"/>
                  <w:color w:val="1155cc"/>
                  <w:sz w:val="24"/>
                  <w:szCs w:val="24"/>
                  <w:u w:val="single"/>
                  <w:rtl w:val="0"/>
                </w:rPr>
                <w:t xml:space="preserve">Live Science</w:t>
              </w:r>
            </w:hyperlink>
            <w:r w:rsidDel="00000000" w:rsidR="00000000" w:rsidRPr="00000000">
              <w:rPr>
                <w:rFonts w:ascii="Times New Roman" w:cs="Times New Roman" w:eastAsia="Times New Roman" w:hAnsi="Times New Roman"/>
                <w:sz w:val="24"/>
                <w:szCs w:val="24"/>
                <w:rtl w:val="0"/>
              </w:rPr>
              <w:t xml:space="preserve">, </w:t>
            </w:r>
            <w:hyperlink r:id="rId28">
              <w:r w:rsidDel="00000000" w:rsidR="00000000" w:rsidRPr="00000000">
                <w:rPr>
                  <w:rFonts w:ascii="Times New Roman" w:cs="Times New Roman" w:eastAsia="Times New Roman" w:hAnsi="Times New Roman"/>
                  <w:color w:val="1155cc"/>
                  <w:sz w:val="24"/>
                  <w:szCs w:val="24"/>
                  <w:u w:val="single"/>
                  <w:rtl w:val="0"/>
                </w:rPr>
                <w:t xml:space="preserve">Daily Mail Bacteria</w:t>
              </w:r>
            </w:hyperlink>
            <w:r w:rsidDel="00000000" w:rsidR="00000000" w:rsidRPr="00000000">
              <w:rPr>
                <w:rFonts w:ascii="Times New Roman" w:cs="Times New Roman" w:eastAsia="Times New Roman" w:hAnsi="Times New Roman"/>
                <w:sz w:val="24"/>
                <w:szCs w:val="24"/>
                <w:rtl w:val="0"/>
              </w:rPr>
              <w:t xml:space="preserve">, </w:t>
            </w:r>
            <w:hyperlink r:id="rId29">
              <w:r w:rsidDel="00000000" w:rsidR="00000000" w:rsidRPr="00000000">
                <w:rPr>
                  <w:rFonts w:ascii="Times New Roman" w:cs="Times New Roman" w:eastAsia="Times New Roman" w:hAnsi="Times New Roman"/>
                  <w:color w:val="1155cc"/>
                  <w:sz w:val="24"/>
                  <w:szCs w:val="24"/>
                  <w:u w:val="single"/>
                  <w:rtl w:val="0"/>
                </w:rPr>
                <w:t xml:space="preserve">Daily Mail Viruses</w:t>
              </w:r>
            </w:hyperlink>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(Darkened room &amp;  blacklight required) Explain that you’ve used a model germ that you can only see under a blacklight. Invite groups of students to examine their hands, pencils, paper, etc.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 students to wash hands with soap and water, wipes, antibacterials, etc. after examining hands.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examine their hands, pencils, paper, etc. and make observations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Invite students to return to closet after washing hands.</w:t>
            </w:r>
          </w:p>
        </w:tc>
        <w:tc>
          <w:tcPr/>
          <w:p w:rsidR="00000000" w:rsidDel="00000000" w:rsidP="00000000" w:rsidRDefault="00000000" w:rsidRPr="00000000">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Continue working on </w:t>
            </w:r>
            <w:hyperlink r:id="rId30">
              <w:r w:rsidDel="00000000" w:rsidR="00000000" w:rsidRPr="00000000">
                <w:rPr>
                  <w:rFonts w:ascii="Times New Roman" w:cs="Times New Roman" w:eastAsia="Times New Roman" w:hAnsi="Times New Roman"/>
                  <w:color w:val="1155cc"/>
                  <w:u w:val="single"/>
                  <w:rtl w:val="0"/>
                </w:rPr>
                <w:t xml:space="preserve">GERM SKETCH</w:t>
              </w:r>
            </w:hyperlink>
            <w:r w:rsidDel="00000000" w:rsidR="00000000" w:rsidRPr="00000000">
              <w:rPr>
                <w:rFonts w:ascii="Times New Roman" w:cs="Times New Roman" w:eastAsia="Times New Roman" w:hAnsi="Times New Roman"/>
                <w:rtl w:val="0"/>
              </w:rPr>
              <w:t xml:space="preserve"> and return to darkened closet after washing hands to inspect for residual germ substance.</w:t>
            </w: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how did the germs spread. Record responses on whiteboard.</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ideas about how they think the germs spread</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Closure: </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Explain to the students that during the course of the few weeks they will be investigating the way germs spread as they research and model the spread of diseases.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360" w:firstLine="0"/>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rtl w:val="0"/>
        </w:rPr>
        <w:t xml:space="preserve"> Additional Resources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400"/>
        <w:gridCol w:w="3030"/>
        <w:tblGridChange w:id="0">
          <w:tblGrid>
            <w:gridCol w:w="930"/>
            <w:gridCol w:w="5400"/>
            <w:gridCol w:w="3030"/>
          </w:tblGrid>
        </w:tblGridChange>
      </w:tblGrid>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min</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hyperlink r:id="rId31">
              <w:r w:rsidDel="00000000" w:rsidR="00000000" w:rsidRPr="00000000">
                <w:rPr>
                  <w:rFonts w:ascii="Times New Roman" w:cs="Times New Roman" w:eastAsia="Times New Roman" w:hAnsi="Times New Roman"/>
                  <w:color w:val="1155cc"/>
                  <w:u w:val="single"/>
                  <w:rtl w:val="0"/>
                </w:rPr>
                <w:t xml:space="preserve">Powers of Ten Video</w:t>
              </w:r>
            </w:hyperlink>
            <w:r w:rsidDel="00000000" w:rsidR="00000000" w:rsidRPr="00000000">
              <w:rPr>
                <w:rFonts w:ascii="Times New Roman" w:cs="Times New Roman" w:eastAsia="Times New Roman" w:hAnsi="Times New Roman"/>
                <w:rtl w:val="0"/>
              </w:rPr>
              <w:t xml:space="preserve"> (exponents- video examines the relative size of things: zooms in to micro level (inside human body viruses, etc.) and out to solar system by adding power of 10. 1977 Cool)</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HD version of something similar, but not as informative: </w:t>
            </w:r>
            <w:hyperlink r:id="rId32">
              <w:r w:rsidDel="00000000" w:rsidR="00000000" w:rsidRPr="00000000">
                <w:rPr>
                  <w:rFonts w:ascii="Times New Roman" w:cs="Times New Roman" w:eastAsia="Times New Roman" w:hAnsi="Times New Roman"/>
                  <w:color w:val="1155cc"/>
                  <w:u w:val="single"/>
                  <w:rtl w:val="0"/>
                </w:rPr>
                <w:t xml:space="preserve">Cosmic Eye </w:t>
              </w:r>
            </w:hyperlink>
            <w:r w:rsidDel="00000000" w:rsidR="00000000" w:rsidRPr="00000000">
              <w:rPr>
                <w:rFonts w:ascii="Times New Roman" w:cs="Times New Roman" w:eastAsia="Times New Roman" w:hAnsi="Times New Roman"/>
                <w:rtl w:val="0"/>
              </w:rPr>
              <w:t xml:space="preserve">(zoom in zoom out- newer, but not narrated) </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 min</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hyperlink r:id="rId33">
              <w:r w:rsidDel="00000000" w:rsidR="00000000" w:rsidRPr="00000000">
                <w:rPr>
                  <w:rFonts w:ascii="Times New Roman" w:cs="Times New Roman" w:eastAsia="Times New Roman" w:hAnsi="Times New Roman"/>
                  <w:b w:val="1"/>
                  <w:color w:val="1155cc"/>
                  <w:u w:val="single"/>
                  <w:rtl w:val="0"/>
                </w:rPr>
                <w:t xml:space="preserve">Hand Wash Extension</w:t>
              </w:r>
            </w:hyperlink>
            <w:r w:rsidDel="00000000" w:rsidR="00000000" w:rsidRPr="00000000">
              <w:rPr>
                <w:rFonts w:ascii="Times New Roman" w:cs="Times New Roman" w:eastAsia="Times New Roman" w:hAnsi="Times New Roman"/>
                <w:b w:val="1"/>
                <w:rtl w:val="0"/>
              </w:rPr>
              <w:t xml:space="preserve"> (CDC Stop Germs Activity)</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is a microbe?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are microbes spread?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w:t>
      </w: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hyperlink r:id="rId34">
        <w:r w:rsidDel="00000000" w:rsidR="00000000" w:rsidRPr="00000000">
          <w:rPr>
            <w:rFonts w:ascii="Times New Roman" w:cs="Times New Roman" w:eastAsia="Times New Roman" w:hAnsi="Times New Roman"/>
            <w:color w:val="1155cc"/>
            <w:u w:val="single"/>
            <w:rtl w:val="0"/>
          </w:rPr>
          <w:t xml:space="preserve">Super STEM Sleuths</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hyperlink r:id="rId35">
        <w:r w:rsidDel="00000000" w:rsidR="00000000" w:rsidRPr="00000000">
          <w:rPr>
            <w:rFonts w:ascii="Times New Roman" w:cs="Times New Roman" w:eastAsia="Times New Roman" w:hAnsi="Times New Roman"/>
            <w:color w:val="1155cc"/>
            <w:u w:val="single"/>
            <w:rtl w:val="0"/>
          </w:rPr>
          <w:t xml:space="preserve">https://www.cdc.gov/bam/teachers/documents/epi_4_hand_wash.pdf</w:t>
        </w:r>
      </w:hyperlink>
      <w:r w:rsidDel="00000000" w:rsidR="00000000" w:rsidRPr="00000000">
        <w:rPr>
          <w:rFonts w:ascii="Times New Roman" w:cs="Times New Roman" w:eastAsia="Times New Roman" w:hAnsi="Times New Roman"/>
          <w:color w:val="008000"/>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open?id=0B1TkjHrDZ7XMSldEZldWaER6ZzA" TargetMode="External"/><Relationship Id="rId22" Type="http://schemas.openxmlformats.org/officeDocument/2006/relationships/hyperlink" Target="https://drive.google.com/open?id=0B1TkjHrDZ7XMUGRQVzRHZlBjNTg" TargetMode="External"/><Relationship Id="rId21" Type="http://schemas.openxmlformats.org/officeDocument/2006/relationships/hyperlink" Target="https://drive.google.com/open?id=0B1TkjHrDZ7XMSldEZldWaER6ZzA" TargetMode="External"/><Relationship Id="rId24" Type="http://schemas.openxmlformats.org/officeDocument/2006/relationships/hyperlink" Target="http://www.cellsalive.com/" TargetMode="External"/><Relationship Id="rId23" Type="http://schemas.openxmlformats.org/officeDocument/2006/relationships/hyperlink" Target="https://drive.google.com/open?id=0B1TkjHrDZ7XMUGRQVzRHZlBjNTg"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corestandards.org/ELA-Literacy/SL/5" TargetMode="External"/><Relationship Id="rId26" Type="http://schemas.openxmlformats.org/officeDocument/2006/relationships/hyperlink" Target="http://www.cellsalive.com/" TargetMode="External"/><Relationship Id="rId25" Type="http://schemas.openxmlformats.org/officeDocument/2006/relationships/hyperlink" Target="https://drive.google.com/open?id=0B1TkjHrDZ7XMUGRQVzRHZlBjNTg" TargetMode="External"/><Relationship Id="rId28" Type="http://schemas.openxmlformats.org/officeDocument/2006/relationships/hyperlink" Target="http://www.dailymail.co.uk/sciencetech/article-3549713/You-never-forget-brush-teeth-Horrifying-close-pictures-reveal-bacteria-living-inside-mouths.html" TargetMode="External"/><Relationship Id="rId27" Type="http://schemas.openxmlformats.org/officeDocument/2006/relationships/hyperlink" Target="http://www.livescience.com/19060-gallery-microscopic-images-viruses-bacteria-insects.html" TargetMode="External"/><Relationship Id="rId5" Type="http://schemas.openxmlformats.org/officeDocument/2006/relationships/hyperlink" Target="http://www.corestandards.org/ELA-Literacy/RI/5" TargetMode="External"/><Relationship Id="rId6" Type="http://schemas.openxmlformats.org/officeDocument/2006/relationships/hyperlink" Target="http://www.corestandards.org/ELA-Literacy/RI/5" TargetMode="External"/><Relationship Id="rId29" Type="http://schemas.openxmlformats.org/officeDocument/2006/relationships/hyperlink" Target="http://www.dailymail.co.uk/sciencetech/article-2197533/As-pretty-picture-lot-deadly--Killer-diseases-youve-seen-before.html" TargetMode="External"/><Relationship Id="rId7" Type="http://schemas.openxmlformats.org/officeDocument/2006/relationships/hyperlink" Target="http://www.corestandards.org/ELA-Literacy/RI/5" TargetMode="External"/><Relationship Id="rId8" Type="http://schemas.openxmlformats.org/officeDocument/2006/relationships/hyperlink" Target="http://www.corestandards.org/ELA-Literacy/SL/5" TargetMode="External"/><Relationship Id="rId31" Type="http://schemas.openxmlformats.org/officeDocument/2006/relationships/hyperlink" Target="https://youtu.be/0fKBhvDjuy0" TargetMode="External"/><Relationship Id="rId30" Type="http://schemas.openxmlformats.org/officeDocument/2006/relationships/hyperlink" Target="https://drive.google.com/open?id=0B1TkjHrDZ7XMUGRQVzRHZlBjNTg" TargetMode="External"/><Relationship Id="rId11" Type="http://schemas.openxmlformats.org/officeDocument/2006/relationships/hyperlink" Target="http://www.corestandards.org/Math/Practice/MP2" TargetMode="External"/><Relationship Id="rId33" Type="http://schemas.openxmlformats.org/officeDocument/2006/relationships/hyperlink" Target="https://www.cdc.gov/bam/teachers/documents/epi_4_hand_wash.pdf" TargetMode="External"/><Relationship Id="rId10" Type="http://schemas.openxmlformats.org/officeDocument/2006/relationships/hyperlink" Target="http://www.corestandards.org/ELA-Literacy/SL/5" TargetMode="External"/><Relationship Id="rId32" Type="http://schemas.openxmlformats.org/officeDocument/2006/relationships/hyperlink" Target="https://youtu.be/jfSNxVqprvM" TargetMode="External"/><Relationship Id="rId13" Type="http://schemas.openxmlformats.org/officeDocument/2006/relationships/hyperlink" Target="http://www.corestandards.org/Math/Practice/MP2" TargetMode="External"/><Relationship Id="rId35" Type="http://schemas.openxmlformats.org/officeDocument/2006/relationships/hyperlink" Target="https://www.cdc.gov/bam/teachers/documents/epi_4_hand_wash.pdf" TargetMode="External"/><Relationship Id="rId12" Type="http://schemas.openxmlformats.org/officeDocument/2006/relationships/hyperlink" Target="http://www.corestandards.org/Math/Practice/MP2" TargetMode="External"/><Relationship Id="rId34" Type="http://schemas.openxmlformats.org/officeDocument/2006/relationships/hyperlink" Target="http://www.bioedonline.org/lessons-and-more/focus-on-stem/super-stem-sleuths1/" TargetMode="External"/><Relationship Id="rId15" Type="http://schemas.openxmlformats.org/officeDocument/2006/relationships/hyperlink" Target="http://www.corestandards.org/Math/Practice/MP4" TargetMode="External"/><Relationship Id="rId14" Type="http://schemas.openxmlformats.org/officeDocument/2006/relationships/hyperlink" Target="http://www.corestandards.org/Math/Practice/MP4" TargetMode="External"/><Relationship Id="rId17" Type="http://schemas.openxmlformats.org/officeDocument/2006/relationships/hyperlink" Target="http://www.glogerm.com" TargetMode="External"/><Relationship Id="rId16" Type="http://schemas.openxmlformats.org/officeDocument/2006/relationships/hyperlink" Target="http://www.corestandards.org/Math/Practice/MP4" TargetMode="External"/><Relationship Id="rId19" Type="http://schemas.openxmlformats.org/officeDocument/2006/relationships/hyperlink" Target="https://drive.google.com/open?id=0B1TkjHrDZ7XMUGRQVzRHZlBjNTg" TargetMode="External"/><Relationship Id="rId18" Type="http://schemas.openxmlformats.org/officeDocument/2006/relationships/hyperlink" Target="https://drive.google.com/open?id=0B1TkjHrDZ7XMSldEZldWaER6ZzA" TargetMode="External"/></Relationships>
</file>