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00" w:type="dxa"/>
        <w:tblInd w:w="-9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4680"/>
        <w:gridCol w:w="4680"/>
      </w:tblGrid>
      <w:tr w:rsidR="009527FB" w:rsidRPr="005A1C5E" w:rsidTr="0065576F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1C5E">
              <w:rPr>
                <w:rFonts w:ascii="Calibri" w:eastAsia="Times New Roman" w:hAnsi="Calibri" w:cs="Calibri"/>
                <w:b/>
                <w:bCs/>
                <w:color w:val="000000"/>
              </w:rPr>
              <w:t>OSI Model Layer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Physical Example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6D5112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Email</w:t>
            </w:r>
            <w:r w:rsidR="009527FB" w:rsidRPr="005A1C5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Example</w:t>
            </w:r>
          </w:p>
        </w:tc>
      </w:tr>
      <w:tr w:rsidR="009527FB" w:rsidRPr="005A1C5E" w:rsidTr="0065576F">
        <w:trPr>
          <w:trHeight w:val="2594"/>
        </w:trPr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C5E">
              <w:rPr>
                <w:rFonts w:ascii="Calibri" w:eastAsia="Times New Roman" w:hAnsi="Calibri" w:cs="Calibri"/>
                <w:color w:val="000000"/>
              </w:rPr>
              <w:t>7)</w:t>
            </w:r>
            <w:r w:rsidRPr="005A1C5E">
              <w:rPr>
                <w:rFonts w:ascii="Calibri" w:eastAsia="Times New Roman" w:hAnsi="Calibri" w:cs="Calibri"/>
                <w:b/>
                <w:color w:val="000000"/>
              </w:rPr>
              <w:t xml:space="preserve"> Application</w:t>
            </w:r>
            <w:r w:rsidRPr="0065576F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Pr="0065576F">
              <w:rPr>
                <w:rFonts w:ascii="Arial" w:hAnsi="Arial" w:cs="Arial"/>
                <w:color w:val="3F3F3F"/>
              </w:rPr>
              <w:t>Responsible for direct interaction between applications and the user interface to the application, for instance the use of a web browser like IE or Firefox.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sz w:val="36"/>
                <w:szCs w:val="36"/>
              </w:rPr>
            </w:pPr>
            <w:r w:rsidRPr="005A1C5E">
              <w:rPr>
                <w:rFonts w:ascii="Book Antiqua" w:eastAsia="Times New Roman" w:hAnsi="Book Antiqua" w:cs="Calibri"/>
                <w:color w:val="000000"/>
                <w:sz w:val="36"/>
                <w:szCs w:val="36"/>
              </w:rPr>
              <w:t>Write a letter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9D0F1F" w:rsidRDefault="009527FB" w:rsidP="00A26003">
            <w:pPr>
              <w:spacing w:before="100" w:beforeAutospacing="1" w:after="100" w:afterAutospacing="1" w:line="240" w:lineRule="auto"/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</w:pPr>
            <w:r w:rsidRPr="000B38A4">
              <w:rPr>
                <w:rFonts w:ascii="Book Antiqua" w:eastAsia="Times New Roman" w:hAnsi="Book Antiqua" w:cs="Lucida Sans Unicode"/>
                <w:color w:val="333333"/>
                <w:sz w:val="28"/>
                <w:szCs w:val="28"/>
              </w:rPr>
              <w:t>Th</w:t>
            </w:r>
            <w:r w:rsidR="003F23F1">
              <w:rPr>
                <w:rFonts w:ascii="Book Antiqua" w:eastAsia="Times New Roman" w:hAnsi="Book Antiqua" w:cs="Lucida Sans Unicode"/>
                <w:color w:val="333333"/>
                <w:sz w:val="28"/>
                <w:szCs w:val="28"/>
              </w:rPr>
              <w:t xml:space="preserve">e application will read </w:t>
            </w:r>
            <w:r w:rsidRPr="000B38A4">
              <w:rPr>
                <w:rFonts w:ascii="Book Antiqua" w:eastAsia="Times New Roman" w:hAnsi="Book Antiqua" w:cs="Lucida Sans Unicode"/>
                <w:color w:val="333333"/>
                <w:sz w:val="28"/>
                <w:szCs w:val="28"/>
              </w:rPr>
              <w:t>commands</w:t>
            </w:r>
            <w:r w:rsidR="003F23F1">
              <w:rPr>
                <w:rFonts w:ascii="Book Antiqua" w:eastAsia="Times New Roman" w:hAnsi="Book Antiqua" w:cs="Lucida Sans Unicode"/>
                <w:color w:val="333333"/>
                <w:sz w:val="28"/>
                <w:szCs w:val="28"/>
              </w:rPr>
              <w:t xml:space="preserve"> (i.e. SMTP)</w:t>
            </w:r>
            <w:r w:rsidRPr="000B38A4">
              <w:rPr>
                <w:rFonts w:ascii="Book Antiqua" w:eastAsia="Times New Roman" w:hAnsi="Book Antiqua" w:cs="Lucida Sans Unicode"/>
                <w:color w:val="333333"/>
                <w:sz w:val="28"/>
                <w:szCs w:val="28"/>
              </w:rPr>
              <w:t xml:space="preserve"> that the application layer on the sender sent and hence email will be received.</w:t>
            </w:r>
          </w:p>
        </w:tc>
      </w:tr>
      <w:tr w:rsidR="009527FB" w:rsidRPr="005A1C5E" w:rsidTr="0065576F">
        <w:trPr>
          <w:trHeight w:val="2594"/>
        </w:trPr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C5E">
              <w:rPr>
                <w:rFonts w:ascii="Calibri" w:eastAsia="Times New Roman" w:hAnsi="Calibri" w:cs="Calibri"/>
                <w:color w:val="000000"/>
              </w:rPr>
              <w:t xml:space="preserve">6) </w:t>
            </w:r>
            <w:r w:rsidRPr="005A1C5E">
              <w:rPr>
                <w:rFonts w:ascii="Calibri" w:eastAsia="Times New Roman" w:hAnsi="Calibri" w:cs="Calibri"/>
                <w:b/>
                <w:color w:val="000000"/>
              </w:rPr>
              <w:t>Presentation</w:t>
            </w:r>
            <w:r w:rsidRPr="0065576F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Pr="0065576F">
              <w:rPr>
                <w:rFonts w:ascii="Arial" w:hAnsi="Arial" w:cs="Arial"/>
                <w:color w:val="3F3F3F"/>
              </w:rPr>
              <w:t>Responsible for guaranteeing that data is exchanged in a way that is comprehensible between both parties. In some services that use a form of encryption, the encryption happens at the presentation layer.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sz w:val="36"/>
                <w:szCs w:val="36"/>
              </w:rPr>
            </w:pPr>
            <w:r w:rsidRPr="005A1C5E">
              <w:rPr>
                <w:rFonts w:ascii="Book Antiqua" w:eastAsia="Times New Roman" w:hAnsi="Book Antiqua" w:cs="Calibri"/>
                <w:color w:val="000000"/>
                <w:sz w:val="36"/>
                <w:szCs w:val="36"/>
              </w:rPr>
              <w:t>Put letter in envelope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3C2D" w:rsidRPr="00DC6196" w:rsidRDefault="00DC6196" w:rsidP="00A26003">
            <w:pPr>
              <w:spacing w:before="100" w:beforeAutospacing="1" w:after="100" w:afterAutospacing="1" w:line="240" w:lineRule="auto"/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</w:pPr>
            <w:r w:rsidRPr="00DC6196">
              <w:rPr>
                <w:rFonts w:ascii="Book Antiqua" w:hAnsi="Book Antiqua"/>
                <w:color w:val="000000"/>
                <w:sz w:val="28"/>
                <w:szCs w:val="28"/>
              </w:rPr>
              <w:t xml:space="preserve">Converts </w:t>
            </w:r>
            <w:r w:rsidR="00E13C2D" w:rsidRPr="00DC6196">
              <w:rPr>
                <w:rFonts w:ascii="Book Antiqua" w:hAnsi="Book Antiqua"/>
                <w:color w:val="000000"/>
                <w:sz w:val="28"/>
                <w:szCs w:val="28"/>
              </w:rPr>
              <w:t>incoming and outgoing data from one presentation format to</w:t>
            </w:r>
            <w:r w:rsidRPr="00DC6196">
              <w:rPr>
                <w:rFonts w:ascii="Book Antiqua" w:hAnsi="Book Antiqua"/>
                <w:color w:val="000000"/>
                <w:sz w:val="28"/>
                <w:szCs w:val="28"/>
              </w:rPr>
              <w:t xml:space="preserve"> another (</w:t>
            </w:r>
            <w:r w:rsidRPr="00DC6196">
              <w:rPr>
                <w:rFonts w:ascii="Book Antiqua" w:hAnsi="Book Antiqua"/>
                <w:color w:val="000000"/>
                <w:sz w:val="28"/>
                <w:szCs w:val="28"/>
              </w:rPr>
              <w:t>usu</w:t>
            </w:r>
            <w:r w:rsidRPr="00DC6196">
              <w:rPr>
                <w:rFonts w:ascii="Book Antiqua" w:hAnsi="Book Antiqua"/>
                <w:color w:val="000000"/>
                <w:sz w:val="28"/>
                <w:szCs w:val="28"/>
              </w:rPr>
              <w:t xml:space="preserve">ally part of an operating system). </w:t>
            </w:r>
          </w:p>
        </w:tc>
      </w:tr>
      <w:tr w:rsidR="009527FB" w:rsidRPr="005A1C5E" w:rsidTr="0065576F">
        <w:trPr>
          <w:trHeight w:val="2594"/>
        </w:trPr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C5E">
              <w:rPr>
                <w:rFonts w:ascii="Calibri" w:eastAsia="Times New Roman" w:hAnsi="Calibri" w:cs="Calibri"/>
                <w:color w:val="000000"/>
              </w:rPr>
              <w:t xml:space="preserve">5) </w:t>
            </w:r>
            <w:r w:rsidRPr="005A1C5E">
              <w:rPr>
                <w:rFonts w:ascii="Calibri" w:eastAsia="Times New Roman" w:hAnsi="Calibri" w:cs="Calibri"/>
                <w:b/>
                <w:color w:val="000000"/>
              </w:rPr>
              <w:t>Session (Host</w:t>
            </w:r>
            <w:r w:rsidRPr="005A1C5E">
              <w:rPr>
                <w:rFonts w:ascii="Calibri" w:eastAsia="Times New Roman" w:hAnsi="Calibri" w:cs="Calibri"/>
                <w:color w:val="000000"/>
              </w:rPr>
              <w:t>)</w:t>
            </w:r>
            <w:r w:rsidRPr="0065576F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Pr="0065576F">
              <w:rPr>
                <w:rFonts w:ascii="Arial" w:hAnsi="Arial" w:cs="Arial"/>
                <w:color w:val="3F3F3F"/>
              </w:rPr>
              <w:t xml:space="preserve">Responsible for dialogue control between two computers. </w:t>
            </w:r>
            <w:proofErr w:type="gramStart"/>
            <w:r w:rsidRPr="0065576F">
              <w:rPr>
                <w:rFonts w:ascii="Arial" w:hAnsi="Arial" w:cs="Arial"/>
                <w:color w:val="3F3F3F"/>
              </w:rPr>
              <w:t>Basically</w:t>
            </w:r>
            <w:proofErr w:type="gramEnd"/>
            <w:r w:rsidRPr="0065576F">
              <w:rPr>
                <w:rFonts w:ascii="Arial" w:hAnsi="Arial" w:cs="Arial"/>
                <w:color w:val="3F3F3F"/>
              </w:rPr>
              <w:t xml:space="preserve"> it establishes, manages and terminates all connections that happen between the computers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sz w:val="36"/>
                <w:szCs w:val="36"/>
              </w:rPr>
            </w:pPr>
            <w:r w:rsidRPr="005A1C5E">
              <w:rPr>
                <w:rFonts w:ascii="Book Antiqua" w:eastAsia="Times New Roman" w:hAnsi="Book Antiqua" w:cs="Calibri"/>
                <w:color w:val="000000"/>
                <w:sz w:val="36"/>
                <w:szCs w:val="36"/>
              </w:rPr>
              <w:t>Address envelope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E13C2D" w:rsidRDefault="00E13C2D" w:rsidP="00A26003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</w:pPr>
            <w:r w:rsidRPr="00E13C2D">
              <w:rPr>
                <w:rFonts w:ascii="Book Antiqua" w:hAnsi="Book Antiqua"/>
                <w:color w:val="000000"/>
                <w:sz w:val="28"/>
                <w:szCs w:val="28"/>
              </w:rPr>
              <w:t>Opens and</w:t>
            </w:r>
            <w:r w:rsidRPr="00E13C2D">
              <w:rPr>
                <w:rFonts w:ascii="Book Antiqua" w:hAnsi="Book Antiqua"/>
                <w:color w:val="000000"/>
                <w:sz w:val="28"/>
                <w:szCs w:val="28"/>
              </w:rPr>
              <w:t xml:space="preserve"> closes conversations between two computers. It performs name recognition </w:t>
            </w:r>
            <w:r w:rsidRPr="00E13C2D">
              <w:rPr>
                <w:rFonts w:ascii="Book Antiqua" w:hAnsi="Book Antiqua"/>
                <w:color w:val="000000"/>
                <w:sz w:val="28"/>
                <w:szCs w:val="28"/>
              </w:rPr>
              <w:t>an</w:t>
            </w:r>
            <w:r>
              <w:rPr>
                <w:rFonts w:ascii="Book Antiqua" w:hAnsi="Book Antiqua"/>
                <w:color w:val="000000"/>
                <w:sz w:val="28"/>
                <w:szCs w:val="28"/>
              </w:rPr>
              <w:t xml:space="preserve">d </w:t>
            </w:r>
            <w:r w:rsidRPr="00E13C2D">
              <w:rPr>
                <w:rFonts w:ascii="Book Antiqua" w:hAnsi="Book Antiqua"/>
                <w:color w:val="000000"/>
                <w:sz w:val="28"/>
                <w:szCs w:val="28"/>
              </w:rPr>
              <w:t>functions</w:t>
            </w:r>
            <w:r w:rsidRPr="00E13C2D">
              <w:rPr>
                <w:rFonts w:ascii="Book Antiqua" w:hAnsi="Book Antiqua"/>
                <w:color w:val="000000"/>
                <w:sz w:val="28"/>
                <w:szCs w:val="28"/>
              </w:rPr>
              <w:t xml:space="preserve"> such as security, needed to allow two applications</w:t>
            </w:r>
            <w:r w:rsidRPr="00E13C2D">
              <w:rPr>
                <w:rFonts w:ascii="Book Antiqua" w:hAnsi="Book Antiqua"/>
                <w:color w:val="000000"/>
                <w:sz w:val="28"/>
                <w:szCs w:val="28"/>
              </w:rPr>
              <w:t xml:space="preserve"> to communicate.</w:t>
            </w:r>
            <w:r w:rsidR="009527FB" w:rsidRPr="00E13C2D"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9527FB" w:rsidRPr="005A1C5E" w:rsidTr="0065576F">
        <w:trPr>
          <w:trHeight w:val="2594"/>
        </w:trPr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722A" w:rsidRDefault="009527FB" w:rsidP="0065576F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F3F3F"/>
                <w:sz w:val="22"/>
                <w:szCs w:val="22"/>
              </w:rPr>
            </w:pPr>
            <w:r w:rsidRPr="005A1C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4) </w:t>
            </w:r>
            <w:r w:rsidRPr="005A1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Transport</w:t>
            </w:r>
            <w:r w:rsidRPr="006557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65576F">
              <w:rPr>
                <w:rFonts w:ascii="Arial" w:hAnsi="Arial" w:cs="Arial"/>
                <w:color w:val="3F3F3F"/>
                <w:sz w:val="22"/>
                <w:szCs w:val="22"/>
              </w:rPr>
              <w:t>Provides transparent transfer of data between computers, providing reliable data transfer services to the upper layers. </w:t>
            </w:r>
          </w:p>
          <w:p w:rsidR="004C722A" w:rsidRDefault="004C722A" w:rsidP="0065576F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3F3F3F"/>
                <w:sz w:val="22"/>
                <w:szCs w:val="22"/>
              </w:rPr>
            </w:pPr>
          </w:p>
          <w:p w:rsidR="009527FB" w:rsidRPr="005A1C5E" w:rsidRDefault="009527FB" w:rsidP="0065576F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C49C6"/>
                <w:sz w:val="22"/>
                <w:szCs w:val="22"/>
              </w:rPr>
            </w:pPr>
            <w:r w:rsidRPr="008407B6">
              <w:rPr>
                <w:rFonts w:ascii="Arial" w:hAnsi="Arial" w:cs="Arial"/>
                <w:color w:val="3F3F3F"/>
                <w:sz w:val="22"/>
                <w:szCs w:val="22"/>
              </w:rPr>
              <w:t>This means that it is responsible for assembling all data in smaller portions that can be carried reliably on a data network. If a packet is lost or not received, it is the transport layer's job to make sure that that single packet is retransmitted and then reassembled in the correct order.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sz w:val="36"/>
                <w:szCs w:val="36"/>
              </w:rPr>
            </w:pPr>
            <w:r w:rsidRPr="005A1C5E">
              <w:rPr>
                <w:rFonts w:ascii="Book Antiqua" w:eastAsia="Times New Roman" w:hAnsi="Book Antiqua" w:cs="Calibri"/>
                <w:color w:val="000000"/>
                <w:sz w:val="36"/>
                <w:szCs w:val="36"/>
              </w:rPr>
              <w:t>Put envelope in mailbox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23F1" w:rsidRPr="003F23F1" w:rsidRDefault="003F23F1" w:rsidP="00A26003">
            <w:pPr>
              <w:spacing w:before="100" w:beforeAutospacing="1" w:after="100" w:afterAutospacing="1" w:line="240" w:lineRule="auto"/>
              <w:rPr>
                <w:color w:val="000000"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Book Antiqua" w:hAnsi="Book Antiqua"/>
                <w:color w:val="000000"/>
                <w:sz w:val="28"/>
                <w:szCs w:val="28"/>
              </w:rPr>
              <w:t xml:space="preserve">Organizes the email into data packets in a way that they can be efficiently transmitted over the network.  Ensures all packets arrive. </w:t>
            </w:r>
          </w:p>
        </w:tc>
      </w:tr>
      <w:tr w:rsidR="009527FB" w:rsidRPr="005A1C5E" w:rsidTr="0065576F">
        <w:trPr>
          <w:trHeight w:val="2594"/>
        </w:trPr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65576F" w:rsidRDefault="009527FB" w:rsidP="00A2600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C49C6"/>
                <w:sz w:val="22"/>
                <w:szCs w:val="22"/>
              </w:rPr>
            </w:pPr>
            <w:r w:rsidRPr="005A1C5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3) </w:t>
            </w:r>
            <w:r w:rsidRPr="005A1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Network</w:t>
            </w:r>
            <w:r w:rsidRPr="006557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65576F">
              <w:rPr>
                <w:rFonts w:ascii="Arial" w:hAnsi="Arial" w:cs="Arial"/>
                <w:color w:val="3F3F3F"/>
                <w:sz w:val="22"/>
                <w:szCs w:val="22"/>
              </w:rPr>
              <w:t>This layer is responsible for the addressing part of the connection. </w:t>
            </w:r>
          </w:p>
          <w:p w:rsidR="009527FB" w:rsidRPr="008407B6" w:rsidRDefault="009527FB" w:rsidP="00A26003">
            <w:pPr>
              <w:spacing w:before="280" w:after="0" w:line="240" w:lineRule="auto"/>
              <w:textAlignment w:val="baseline"/>
              <w:rPr>
                <w:rFonts w:ascii="Calibri" w:eastAsia="Times New Roman" w:hAnsi="Calibri" w:cs="Calibri"/>
                <w:color w:val="8C49C6"/>
              </w:rPr>
            </w:pPr>
            <w:r w:rsidRPr="008407B6">
              <w:rPr>
                <w:rFonts w:ascii="Arial" w:eastAsia="Times New Roman" w:hAnsi="Arial" w:cs="Arial"/>
                <w:color w:val="3F3F3F"/>
              </w:rPr>
              <w:t>Not only on ensuring that each address is unique on the</w:t>
            </w:r>
            <w:r w:rsidRPr="0065576F">
              <w:rPr>
                <w:rFonts w:ascii="Arial" w:eastAsia="Times New Roman" w:hAnsi="Arial" w:cs="Arial"/>
                <w:color w:val="3F3F3F"/>
              </w:rPr>
              <w:t xml:space="preserve"> </w:t>
            </w:r>
            <w:r w:rsidRPr="008407B6">
              <w:rPr>
                <w:rFonts w:ascii="Arial" w:eastAsia="Times New Roman" w:hAnsi="Arial" w:cs="Arial"/>
                <w:color w:val="3F3F3F"/>
              </w:rPr>
              <w:t xml:space="preserve">network, but also on making sure that whatever path is available (whether a good or a bad one), it always delivers the information where it needs to go, and that our information will be sent from hop to hop until it reaches its </w:t>
            </w:r>
            <w:proofErr w:type="gramStart"/>
            <w:r w:rsidRPr="008407B6">
              <w:rPr>
                <w:rFonts w:ascii="Arial" w:eastAsia="Times New Roman" w:hAnsi="Arial" w:cs="Arial"/>
                <w:color w:val="3F3F3F"/>
              </w:rPr>
              <w:t>final destination</w:t>
            </w:r>
            <w:proofErr w:type="gramEnd"/>
            <w:r w:rsidRPr="008407B6">
              <w:rPr>
                <w:rFonts w:ascii="Arial" w:eastAsia="Times New Roman" w:hAnsi="Arial" w:cs="Arial"/>
                <w:color w:val="3F3F3F"/>
              </w:rPr>
              <w:t xml:space="preserve">. </w:t>
            </w:r>
          </w:p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sz w:val="36"/>
                <w:szCs w:val="36"/>
              </w:rPr>
            </w:pPr>
            <w:r w:rsidRPr="005A1C5E">
              <w:rPr>
                <w:rFonts w:ascii="Book Antiqua" w:eastAsia="Times New Roman" w:hAnsi="Book Antiqua" w:cs="Calibri"/>
                <w:color w:val="000000"/>
                <w:sz w:val="36"/>
                <w:szCs w:val="36"/>
              </w:rPr>
              <w:t>Envelope (with other mail) goes to the Central Processing (post) office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F652D3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</w:pPr>
            <w:r w:rsidRPr="00F652D3"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  <w:t>Directs the email on where to go over networks</w:t>
            </w:r>
            <w:r w:rsidRPr="00F652D3"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  <w:br/>
            </w:r>
          </w:p>
        </w:tc>
      </w:tr>
      <w:tr w:rsidR="009527FB" w:rsidRPr="005A1C5E" w:rsidTr="0065576F">
        <w:trPr>
          <w:trHeight w:val="2594"/>
        </w:trPr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65576F" w:rsidRDefault="009527FB" w:rsidP="00A26003">
            <w:pPr>
              <w:pStyle w:val="NormalWeb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8C49C6"/>
                <w:sz w:val="22"/>
                <w:szCs w:val="22"/>
              </w:rPr>
            </w:pPr>
            <w:r w:rsidRPr="005A1C5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2) </w:t>
            </w:r>
            <w:r w:rsidRPr="005A1C5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Data Link</w:t>
            </w:r>
            <w:r w:rsidRPr="006557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</w:t>
            </w:r>
            <w:r w:rsidRPr="0065576F">
              <w:rPr>
                <w:rFonts w:ascii="Arial" w:hAnsi="Arial" w:cs="Arial"/>
                <w:color w:val="3F3F3F"/>
                <w:sz w:val="22"/>
                <w:szCs w:val="22"/>
              </w:rPr>
              <w:t>The data link layer was designed to deal with ensuring the physical layer can recover from errors that might happen and to deal with different connecting mediums. </w:t>
            </w:r>
          </w:p>
          <w:p w:rsidR="009527FB" w:rsidRPr="008407B6" w:rsidRDefault="009527FB" w:rsidP="00A26003">
            <w:pPr>
              <w:spacing w:before="280" w:after="0" w:line="240" w:lineRule="auto"/>
              <w:textAlignment w:val="baseline"/>
              <w:rPr>
                <w:rFonts w:ascii="Calibri" w:eastAsia="Times New Roman" w:hAnsi="Calibri" w:cs="Calibri"/>
                <w:color w:val="8C49C6"/>
              </w:rPr>
            </w:pPr>
            <w:proofErr w:type="gramStart"/>
            <w:r w:rsidRPr="008407B6">
              <w:rPr>
                <w:rFonts w:ascii="Arial" w:eastAsia="Times New Roman" w:hAnsi="Arial" w:cs="Arial"/>
                <w:color w:val="3F3F3F"/>
              </w:rPr>
              <w:t>Basically</w:t>
            </w:r>
            <w:proofErr w:type="gramEnd"/>
            <w:r w:rsidRPr="008407B6">
              <w:rPr>
                <w:rFonts w:ascii="Arial" w:eastAsia="Times New Roman" w:hAnsi="Arial" w:cs="Arial"/>
                <w:color w:val="3F3F3F"/>
              </w:rPr>
              <w:t xml:space="preserve"> it prepares (encapsulates) data so that it can be transmitted over whatever physical means are necessary (radio waves, fiber-optic cable, copper).</w:t>
            </w:r>
          </w:p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sz w:val="36"/>
                <w:szCs w:val="36"/>
              </w:rPr>
            </w:pPr>
            <w:r w:rsidRPr="005A1C5E">
              <w:rPr>
                <w:rFonts w:ascii="Book Antiqua" w:eastAsia="Times New Roman" w:hAnsi="Book Antiqua" w:cs="Calibri"/>
                <w:color w:val="000000"/>
                <w:sz w:val="36"/>
                <w:szCs w:val="36"/>
              </w:rPr>
              <w:t>Letter sent out and delivered to receiver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F652D3" w:rsidRDefault="009527FB" w:rsidP="00A26003">
            <w:pPr>
              <w:spacing w:before="100" w:beforeAutospacing="1" w:after="100" w:afterAutospacing="1" w:line="240" w:lineRule="auto"/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</w:pPr>
            <w:r w:rsidRPr="00F652D3"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  <w:t xml:space="preserve">Decides which transmission method to use (MAC address). </w:t>
            </w:r>
          </w:p>
        </w:tc>
      </w:tr>
      <w:tr w:rsidR="009527FB" w:rsidRPr="005A1C5E" w:rsidTr="0065576F">
        <w:trPr>
          <w:trHeight w:val="2594"/>
        </w:trPr>
        <w:tc>
          <w:tcPr>
            <w:tcW w:w="5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1C5E">
              <w:rPr>
                <w:rFonts w:ascii="Calibri" w:eastAsia="Times New Roman" w:hAnsi="Calibri" w:cs="Calibri"/>
                <w:color w:val="000000"/>
              </w:rPr>
              <w:t xml:space="preserve">1) </w:t>
            </w:r>
            <w:r w:rsidRPr="005A1C5E">
              <w:rPr>
                <w:rFonts w:ascii="Calibri" w:eastAsia="Times New Roman" w:hAnsi="Calibri" w:cs="Calibri"/>
                <w:b/>
                <w:color w:val="000000"/>
              </w:rPr>
              <w:t>Physical Link</w:t>
            </w:r>
            <w:r w:rsidRPr="0065576F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r w:rsidRPr="0065576F">
              <w:rPr>
                <w:rFonts w:ascii="Arial" w:hAnsi="Arial" w:cs="Arial"/>
                <w:color w:val="3F3F3F"/>
              </w:rPr>
              <w:t xml:space="preserve">This layer defines the physical specifications of the devices and what needs to be done </w:t>
            </w:r>
            <w:proofErr w:type="gramStart"/>
            <w:r w:rsidRPr="0065576F">
              <w:rPr>
                <w:rFonts w:ascii="Arial" w:hAnsi="Arial" w:cs="Arial"/>
                <w:color w:val="3F3F3F"/>
              </w:rPr>
              <w:t>in order for</w:t>
            </w:r>
            <w:proofErr w:type="gramEnd"/>
            <w:r w:rsidRPr="0065576F">
              <w:rPr>
                <w:rFonts w:ascii="Arial" w:hAnsi="Arial" w:cs="Arial"/>
                <w:color w:val="3F3F3F"/>
              </w:rPr>
              <w:t xml:space="preserve"> the information to be transmitted over the selected medium.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5A1C5E" w:rsidRDefault="009527FB" w:rsidP="00A26003">
            <w:pPr>
              <w:spacing w:after="0" w:line="240" w:lineRule="auto"/>
              <w:rPr>
                <w:rFonts w:ascii="Book Antiqua" w:eastAsia="Times New Roman" w:hAnsi="Book Antiqua" w:cs="Times New Roman"/>
                <w:sz w:val="36"/>
                <w:szCs w:val="36"/>
              </w:rPr>
            </w:pPr>
            <w:r w:rsidRPr="005A1C5E">
              <w:rPr>
                <w:rFonts w:ascii="Book Antiqua" w:eastAsia="Times New Roman" w:hAnsi="Book Antiqua" w:cs="Calibri"/>
                <w:color w:val="000000"/>
                <w:sz w:val="36"/>
                <w:szCs w:val="36"/>
              </w:rPr>
              <w:t>Recipient opens letter</w:t>
            </w:r>
          </w:p>
        </w:tc>
        <w:tc>
          <w:tcPr>
            <w:tcW w:w="4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27FB" w:rsidRPr="009D0F1F" w:rsidRDefault="009527FB" w:rsidP="00A26003">
            <w:pPr>
              <w:spacing w:before="100" w:beforeAutospacing="1" w:after="100" w:afterAutospacing="1" w:line="240" w:lineRule="auto"/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</w:pPr>
            <w:r w:rsidRPr="00F652D3">
              <w:rPr>
                <w:rFonts w:ascii="Book Antiqua" w:eastAsia="Times New Roman" w:hAnsi="Book Antiqua" w:cs="Times New Roman"/>
                <w:color w:val="000000"/>
                <w:sz w:val="28"/>
                <w:szCs w:val="28"/>
              </w:rPr>
              <w:t xml:space="preserve">Reads bits from physical medium and converts them into frames for sending.  </w:t>
            </w:r>
          </w:p>
        </w:tc>
      </w:tr>
    </w:tbl>
    <w:p w:rsidR="004E2BC5" w:rsidRDefault="004E2BC5"/>
    <w:p w:rsidR="00E13C2D" w:rsidRDefault="00E13C2D"/>
    <w:p w:rsidR="00E13C2D" w:rsidRDefault="00E13C2D">
      <w:r>
        <w:t xml:space="preserve">Resources: </w:t>
      </w:r>
    </w:p>
    <w:p w:rsidR="00E13C2D" w:rsidRDefault="00E13C2D">
      <w:hyperlink r:id="rId4" w:history="1">
        <w:r>
          <w:rPr>
            <w:rStyle w:val="Hyperlink"/>
          </w:rPr>
          <w:t>http://www.just.edu.jo/~mzali/courses/Summer15/CIS442/files/osi-model.htm</w:t>
        </w:r>
      </w:hyperlink>
    </w:p>
    <w:p w:rsidR="00E13C2D" w:rsidRDefault="00E13C2D">
      <w:hyperlink r:id="rId5" w:history="1">
        <w:r>
          <w:rPr>
            <w:rStyle w:val="Hyperlink"/>
          </w:rPr>
          <w:t>https://intellicity.wordpress.com/2014/11/09/a-simple-real-life-example-on-how-the-osi-model-works/</w:t>
        </w:r>
      </w:hyperlink>
    </w:p>
    <w:sectPr w:rsidR="00E13C2D" w:rsidSect="0065576F">
      <w:pgSz w:w="15840" w:h="12240" w:orient="landscape"/>
      <w:pgMar w:top="720" w:right="1440" w:bottom="5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FB"/>
    <w:rsid w:val="003F23F1"/>
    <w:rsid w:val="004C722A"/>
    <w:rsid w:val="004E2BC5"/>
    <w:rsid w:val="0065576F"/>
    <w:rsid w:val="006D5112"/>
    <w:rsid w:val="008D3D83"/>
    <w:rsid w:val="009527FB"/>
    <w:rsid w:val="00D22B59"/>
    <w:rsid w:val="00DC6196"/>
    <w:rsid w:val="00E13C2D"/>
    <w:rsid w:val="00F6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AFD85"/>
  <w15:chartTrackingRefBased/>
  <w15:docId w15:val="{D1646C27-6C3B-490A-8519-B7169C09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27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2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13C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llicity.wordpress.com/2014/11/09/a-simple-real-life-example-on-how-the-osi-model-works/" TargetMode="External"/><Relationship Id="rId4" Type="http://schemas.openxmlformats.org/officeDocument/2006/relationships/hyperlink" Target="http://www.just.edu.jo/~mzali/courses/Summer15/CIS442/files/osi-mode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Payne</dc:creator>
  <cp:keywords/>
  <dc:description/>
  <cp:lastModifiedBy>Jennifer Payne</cp:lastModifiedBy>
  <cp:revision>4</cp:revision>
  <dcterms:created xsi:type="dcterms:W3CDTF">2020-06-08T19:40:00Z</dcterms:created>
  <dcterms:modified xsi:type="dcterms:W3CDTF">2020-06-08T21:42:00Z</dcterms:modified>
</cp:coreProperties>
</file>